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黑体" w:hAnsi="黑体" w:eastAsia="黑体"/>
          <w:sz w:val="36"/>
          <w:szCs w:val="36"/>
        </w:rPr>
      </w:pPr>
    </w:p>
    <w:p>
      <w:pPr>
        <w:pStyle w:val="6"/>
        <w:jc w:val="center"/>
        <w:rPr>
          <w:rFonts w:ascii="黑体" w:hAnsi="黑体" w:eastAsia="黑体"/>
          <w:sz w:val="44"/>
          <w:szCs w:val="44"/>
        </w:rPr>
      </w:pPr>
      <w:r>
        <w:rPr>
          <w:rFonts w:hint="eastAsia" w:ascii="黑体" w:hAnsi="黑体" w:eastAsia="黑体"/>
          <w:sz w:val="44"/>
          <w:szCs w:val="44"/>
        </w:rPr>
        <w:t>西北大学信息科学与技术学院</w:t>
      </w:r>
    </w:p>
    <w:p>
      <w:pPr>
        <w:pStyle w:val="6"/>
        <w:jc w:val="center"/>
        <w:rPr>
          <w:rFonts w:ascii="黑体" w:hAnsi="黑体" w:eastAsia="黑体"/>
          <w:sz w:val="44"/>
          <w:szCs w:val="44"/>
        </w:rPr>
      </w:pPr>
      <w:r>
        <w:rPr>
          <w:rFonts w:hint="eastAsia" w:ascii="黑体" w:hAnsi="黑体" w:eastAsia="黑体"/>
          <w:sz w:val="44"/>
          <w:szCs w:val="44"/>
          <w:lang w:val="en-US" w:eastAsia="zh-CN"/>
        </w:rPr>
        <w:t>心理团辅室装修工程</w:t>
      </w:r>
      <w:r>
        <w:rPr>
          <w:rFonts w:hint="eastAsia" w:ascii="黑体" w:hAnsi="黑体" w:eastAsia="黑体"/>
          <w:sz w:val="44"/>
          <w:szCs w:val="44"/>
        </w:rPr>
        <w:t>项目</w:t>
      </w:r>
    </w:p>
    <w:p>
      <w:pPr>
        <w:pStyle w:val="6"/>
        <w:rPr>
          <w:color w:val="5E5E5E"/>
        </w:rPr>
      </w:pPr>
    </w:p>
    <w:p>
      <w:pPr>
        <w:pStyle w:val="6"/>
        <w:rPr>
          <w:color w:val="5E5E5E"/>
        </w:rPr>
      </w:pPr>
    </w:p>
    <w:p>
      <w:pPr>
        <w:pStyle w:val="6"/>
        <w:jc w:val="center"/>
        <w:rPr>
          <w:rFonts w:ascii="黑体" w:hAnsi="黑体" w:eastAsia="黑体"/>
          <w:b/>
          <w:sz w:val="72"/>
          <w:szCs w:val="72"/>
        </w:rPr>
      </w:pPr>
      <w:r>
        <w:rPr>
          <w:rFonts w:hint="eastAsia" w:ascii="黑体" w:hAnsi="黑体" w:eastAsia="黑体"/>
          <w:b/>
          <w:sz w:val="72"/>
          <w:szCs w:val="72"/>
        </w:rPr>
        <w:t>招</w:t>
      </w:r>
    </w:p>
    <w:p>
      <w:pPr>
        <w:pStyle w:val="6"/>
        <w:jc w:val="center"/>
        <w:rPr>
          <w:rFonts w:ascii="黑体" w:hAnsi="黑体" w:eastAsia="黑体"/>
          <w:b/>
          <w:sz w:val="72"/>
          <w:szCs w:val="72"/>
        </w:rPr>
      </w:pPr>
      <w:r>
        <w:rPr>
          <w:rFonts w:hint="eastAsia" w:ascii="黑体" w:hAnsi="黑体" w:eastAsia="黑体"/>
          <w:b/>
          <w:sz w:val="72"/>
          <w:szCs w:val="72"/>
        </w:rPr>
        <w:t>标</w:t>
      </w:r>
    </w:p>
    <w:p>
      <w:pPr>
        <w:pStyle w:val="6"/>
        <w:jc w:val="center"/>
        <w:rPr>
          <w:rFonts w:ascii="黑体" w:hAnsi="黑体" w:eastAsia="黑体"/>
          <w:b/>
          <w:sz w:val="72"/>
          <w:szCs w:val="72"/>
        </w:rPr>
      </w:pPr>
      <w:r>
        <w:rPr>
          <w:rFonts w:hint="eastAsia" w:ascii="黑体" w:hAnsi="黑体" w:eastAsia="黑体"/>
          <w:b/>
          <w:sz w:val="72"/>
          <w:szCs w:val="72"/>
        </w:rPr>
        <w:t>文</w:t>
      </w:r>
    </w:p>
    <w:p>
      <w:pPr>
        <w:pStyle w:val="6"/>
        <w:jc w:val="center"/>
        <w:rPr>
          <w:rFonts w:ascii="黑体" w:hAnsi="黑体" w:eastAsia="黑体"/>
          <w:b/>
          <w:sz w:val="72"/>
          <w:szCs w:val="72"/>
        </w:rPr>
      </w:pPr>
      <w:r>
        <w:rPr>
          <w:rFonts w:hint="eastAsia" w:ascii="黑体" w:hAnsi="黑体" w:eastAsia="黑体"/>
          <w:b/>
          <w:sz w:val="72"/>
          <w:szCs w:val="72"/>
        </w:rPr>
        <w:t>件</w:t>
      </w:r>
    </w:p>
    <w:p>
      <w:pPr>
        <w:pStyle w:val="6"/>
        <w:rPr>
          <w:color w:val="5E5E5E"/>
        </w:rPr>
      </w:pPr>
    </w:p>
    <w:p>
      <w:pPr>
        <w:pStyle w:val="6"/>
        <w:rPr>
          <w:color w:val="5E5E5E"/>
        </w:rPr>
      </w:pPr>
    </w:p>
    <w:p>
      <w:pPr>
        <w:pStyle w:val="6"/>
        <w:rPr>
          <w:color w:val="5E5E5E"/>
        </w:rPr>
      </w:pPr>
    </w:p>
    <w:p>
      <w:pPr>
        <w:pStyle w:val="6"/>
        <w:rPr>
          <w:color w:val="5E5E5E"/>
        </w:rPr>
      </w:pPr>
    </w:p>
    <w:p>
      <w:pPr>
        <w:pStyle w:val="6"/>
        <w:rPr>
          <w:color w:val="5E5E5E"/>
        </w:rPr>
      </w:pPr>
    </w:p>
    <w:p>
      <w:pPr>
        <w:pStyle w:val="6"/>
        <w:rPr>
          <w:color w:val="5E5E5E"/>
        </w:rPr>
      </w:pPr>
    </w:p>
    <w:p>
      <w:pPr>
        <w:pStyle w:val="6"/>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西北大学信息科学与技术学院</w:t>
      </w:r>
    </w:p>
    <w:p>
      <w:pPr>
        <w:pStyle w:val="6"/>
        <w:jc w:val="center"/>
        <w:rPr>
          <w:sz w:val="30"/>
          <w:szCs w:val="30"/>
        </w:rPr>
      </w:pPr>
      <w:r>
        <w:rPr>
          <w:rFonts w:hint="eastAsia"/>
          <w:sz w:val="30"/>
          <w:szCs w:val="30"/>
        </w:rPr>
        <w:t>201</w:t>
      </w:r>
      <w:r>
        <w:rPr>
          <w:rFonts w:hint="eastAsia"/>
          <w:sz w:val="30"/>
          <w:szCs w:val="30"/>
          <w:lang w:val="en-US" w:eastAsia="zh-CN"/>
        </w:rPr>
        <w:t>9</w:t>
      </w:r>
      <w:r>
        <w:rPr>
          <w:rFonts w:hint="eastAsia"/>
          <w:sz w:val="30"/>
          <w:szCs w:val="30"/>
        </w:rPr>
        <w:t>年</w:t>
      </w:r>
      <w:r>
        <w:rPr>
          <w:rFonts w:hint="eastAsia"/>
          <w:sz w:val="30"/>
          <w:szCs w:val="30"/>
          <w:lang w:val="en-US" w:eastAsia="zh-CN"/>
        </w:rPr>
        <w:t>4</w:t>
      </w:r>
      <w:r>
        <w:rPr>
          <w:rFonts w:hint="eastAsia"/>
          <w:sz w:val="30"/>
          <w:szCs w:val="30"/>
        </w:rPr>
        <w:t>月</w:t>
      </w:r>
      <w:r>
        <w:rPr>
          <w:rFonts w:hint="eastAsia"/>
          <w:sz w:val="30"/>
          <w:szCs w:val="30"/>
          <w:lang w:val="en-US" w:eastAsia="zh-CN"/>
        </w:rPr>
        <w:t>3</w:t>
      </w:r>
      <w:r>
        <w:rPr>
          <w:rFonts w:hint="eastAsia"/>
          <w:sz w:val="30"/>
          <w:szCs w:val="30"/>
        </w:rPr>
        <w:t>日</w:t>
      </w:r>
    </w:p>
    <w:p>
      <w:pPr>
        <w:pStyle w:val="6"/>
        <w:jc w:val="center"/>
        <w:rPr>
          <w:sz w:val="30"/>
          <w:szCs w:val="30"/>
        </w:rPr>
      </w:pPr>
    </w:p>
    <w:p>
      <w:pPr>
        <w:widowControl/>
        <w:ind w:firstLine="2715" w:firstLineChars="845"/>
        <w:rPr>
          <w:rFonts w:asciiTheme="minorEastAsia" w:hAnsiTheme="minorEastAsia"/>
          <w:b/>
          <w:sz w:val="32"/>
          <w:szCs w:val="32"/>
        </w:rPr>
      </w:pPr>
      <w:r>
        <w:rPr>
          <w:rFonts w:hint="eastAsia" w:cs="仿宋" w:asciiTheme="minorEastAsia" w:hAnsiTheme="minorEastAsia"/>
          <w:b/>
          <w:sz w:val="32"/>
          <w:szCs w:val="32"/>
        </w:rPr>
        <w:t>致各应标单位的公开信</w:t>
      </w:r>
    </w:p>
    <w:p>
      <w:pPr>
        <w:widowControl/>
        <w:spacing w:beforeLines="50" w:line="540" w:lineRule="exact"/>
        <w:ind w:firstLine="560" w:firstLineChars="200"/>
        <w:jc w:val="left"/>
        <w:rPr>
          <w:rFonts w:asciiTheme="minorEastAsia" w:hAnsiTheme="minorEastAsia"/>
          <w:kern w:val="0"/>
          <w:sz w:val="28"/>
          <w:szCs w:val="28"/>
        </w:rPr>
      </w:pPr>
      <w:r>
        <w:rPr>
          <w:rFonts w:hint="eastAsia" w:cs="仿宋" w:asciiTheme="minorEastAsia" w:hAnsiTheme="minorEastAsia"/>
          <w:kern w:val="0"/>
          <w:sz w:val="28"/>
          <w:szCs w:val="28"/>
        </w:rPr>
        <w:t>西北大学创建于1902年，是国家“211工程”和西部大开发重点建设院校之一。新的历史时期，学校各项事业进入了高速发展的快车道。学校的发展离不开社会各界的支持。随着长安新校区一期建设的完成及二期建设的陆续启动，学校与各施工、监理、物资供应等单位合作的机会越来越多。蓬勃发展的西北大学热忱欢迎各类诚信、守法、有实力的单位参与西北大学的建设和发展。</w:t>
      </w:r>
    </w:p>
    <w:p>
      <w:pPr>
        <w:widowControl/>
        <w:spacing w:line="540" w:lineRule="exact"/>
        <w:ind w:firstLine="561"/>
        <w:jc w:val="left"/>
        <w:rPr>
          <w:rFonts w:asciiTheme="minorEastAsia" w:hAnsiTheme="minorEastAsia"/>
          <w:kern w:val="0"/>
          <w:sz w:val="28"/>
          <w:szCs w:val="28"/>
        </w:rPr>
      </w:pPr>
      <w:r>
        <w:rPr>
          <w:rFonts w:hint="eastAsia" w:cs="仿宋" w:asciiTheme="minorEastAsia" w:hAnsiTheme="minorEastAsia"/>
          <w:kern w:val="0"/>
          <w:sz w:val="28"/>
          <w:szCs w:val="28"/>
        </w:rPr>
        <w:t>为了进一步规范建筑市场和大宗物资采购，防止各种不正之风的发生，国家、省、市以及我校都制定出台了一系列法规制度和管理办法，进一步明确了建筑、装修、大宗物资采购等主管单位和部门的职责，规范了招（议）标的程序，加强和完善了监督制约机制，为各应标单位提供公开、公平、公正的竞争舞台。我们反对企图通过商业贿赂等不正当手段谋取利益的做法。对依靠歪门斜道进入西北大学的建设企业或供货单位，一经查实，即取消其中标资格，并将不再允许其参与西北大学的招投标活动。希望我们共同努力为高等学校的建设发展创造一个良好的环境氛围。</w:t>
      </w:r>
    </w:p>
    <w:p>
      <w:pPr>
        <w:widowControl/>
        <w:spacing w:line="540" w:lineRule="exact"/>
        <w:ind w:firstLine="561"/>
        <w:jc w:val="left"/>
        <w:rPr>
          <w:rFonts w:cs="仿宋" w:asciiTheme="minorEastAsia" w:hAnsiTheme="minorEastAsia"/>
          <w:kern w:val="0"/>
          <w:sz w:val="28"/>
          <w:szCs w:val="28"/>
        </w:rPr>
      </w:pPr>
      <w:r>
        <w:rPr>
          <w:rFonts w:hint="eastAsia" w:cs="仿宋" w:asciiTheme="minorEastAsia" w:hAnsiTheme="minorEastAsia"/>
          <w:kern w:val="0"/>
          <w:sz w:val="28"/>
          <w:szCs w:val="28"/>
        </w:rPr>
        <w:t>学校发展，公司发财，公平竞争，校企双赢。我们希望所有参与西北大学建设和发展的公司和企业，对我校各级各类工作人员进行监督，若出现吃、拿、卡、要等违纪违法行为，应坚决抵制，大胆揭发。对事实清楚，证据确凿的，学校将予以严肃处理。</w:t>
      </w:r>
    </w:p>
    <w:p>
      <w:pPr>
        <w:widowControl/>
        <w:spacing w:line="540" w:lineRule="exact"/>
        <w:ind w:firstLine="561"/>
        <w:jc w:val="left"/>
        <w:rPr>
          <w:rFonts w:asciiTheme="minorEastAsia" w:hAnsiTheme="minorEastAsia"/>
          <w:kern w:val="0"/>
          <w:sz w:val="28"/>
          <w:szCs w:val="28"/>
        </w:rPr>
      </w:pPr>
    </w:p>
    <w:p>
      <w:pPr>
        <w:widowControl/>
        <w:spacing w:line="540" w:lineRule="exact"/>
        <w:ind w:left="5180" w:hanging="5180" w:hangingChars="1850"/>
        <w:jc w:val="center"/>
        <w:rPr>
          <w:rFonts w:cs="仿宋" w:asciiTheme="minorEastAsia" w:hAnsiTheme="minorEastAsia"/>
          <w:kern w:val="0"/>
          <w:sz w:val="28"/>
          <w:szCs w:val="28"/>
        </w:rPr>
      </w:pPr>
      <w:r>
        <w:rPr>
          <w:rFonts w:hint="eastAsia" w:cs="仿宋" w:asciiTheme="minorEastAsia" w:hAnsiTheme="minorEastAsia"/>
          <w:kern w:val="0"/>
          <w:sz w:val="28"/>
          <w:szCs w:val="28"/>
        </w:rPr>
        <w:t xml:space="preserve">                                  中共西北大学纪委</w:t>
      </w:r>
      <w:r>
        <w:rPr>
          <w:rFonts w:hint="eastAsia" w:cs="仿宋" w:asciiTheme="minorEastAsia" w:hAnsiTheme="minorEastAsia"/>
          <w:spacing w:val="22"/>
          <w:kern w:val="0"/>
          <w:sz w:val="28"/>
          <w:szCs w:val="28"/>
        </w:rPr>
        <w:t xml:space="preserve">         西北大学监察处</w:t>
      </w:r>
      <w:r>
        <w:rPr>
          <w:rFonts w:hint="eastAsia" w:cs="仿宋" w:asciiTheme="minorEastAsia" w:hAnsiTheme="minorEastAsia"/>
          <w:kern w:val="0"/>
          <w:sz w:val="28"/>
          <w:szCs w:val="28"/>
        </w:rPr>
        <w:t xml:space="preserve">        二〇〇六年</w:t>
      </w:r>
    </w:p>
    <w:p>
      <w:pPr>
        <w:widowControl/>
        <w:spacing w:line="540" w:lineRule="exact"/>
        <w:ind w:left="5180" w:hanging="5180" w:hangingChars="1850"/>
        <w:jc w:val="center"/>
        <w:rPr>
          <w:rFonts w:cs="仿宋" w:asciiTheme="minorEastAsia" w:hAnsiTheme="minorEastAsia"/>
          <w:kern w:val="0"/>
          <w:sz w:val="28"/>
          <w:szCs w:val="28"/>
        </w:rPr>
      </w:pPr>
    </w:p>
    <w:p>
      <w:pPr>
        <w:widowControl/>
        <w:spacing w:line="540" w:lineRule="exact"/>
        <w:ind w:left="5180" w:hanging="5180" w:hangingChars="1850"/>
        <w:jc w:val="center"/>
        <w:rPr>
          <w:rFonts w:cs="仿宋" w:asciiTheme="minorEastAsia" w:hAnsiTheme="minorEastAsia"/>
          <w:kern w:val="0"/>
          <w:sz w:val="28"/>
          <w:szCs w:val="28"/>
        </w:rPr>
      </w:pPr>
    </w:p>
    <w:p>
      <w:pPr>
        <w:widowControl/>
        <w:spacing w:line="540" w:lineRule="exact"/>
        <w:ind w:left="5180" w:hanging="5180" w:hangingChars="1850"/>
        <w:jc w:val="center"/>
        <w:rPr>
          <w:rFonts w:cs="仿宋" w:asciiTheme="minorEastAsia" w:hAnsiTheme="minorEastAsia"/>
          <w:kern w:val="0"/>
          <w:sz w:val="28"/>
          <w:szCs w:val="28"/>
        </w:rPr>
      </w:pPr>
    </w:p>
    <w:p>
      <w:pPr>
        <w:widowControl/>
        <w:spacing w:line="540" w:lineRule="exact"/>
        <w:ind w:left="5180" w:hanging="5180" w:hangingChars="1850"/>
        <w:jc w:val="center"/>
        <w:rPr>
          <w:rFonts w:cs="仿宋" w:asciiTheme="minorEastAsia" w:hAnsiTheme="minorEastAsia"/>
          <w:kern w:val="0"/>
          <w:sz w:val="28"/>
          <w:szCs w:val="28"/>
        </w:rPr>
      </w:pPr>
    </w:p>
    <w:p>
      <w:pPr>
        <w:jc w:val="center"/>
        <w:rPr>
          <w:rFonts w:ascii="仿宋_GB2312" w:hAnsi="仿宋" w:eastAsia="仿宋_GB2312" w:cs="仿宋"/>
          <w:sz w:val="28"/>
          <w:szCs w:val="28"/>
        </w:rPr>
      </w:pPr>
      <w:r>
        <w:rPr>
          <w:rFonts w:hint="eastAsia" w:ascii="黑体" w:hAnsi="黑体" w:eastAsia="黑体"/>
          <w:sz w:val="32"/>
          <w:szCs w:val="32"/>
        </w:rPr>
        <w:t>招标文件</w:t>
      </w:r>
    </w:p>
    <w:p>
      <w:pPr>
        <w:pStyle w:val="6"/>
        <w:rPr>
          <w:rFonts w:asciiTheme="minorEastAsia" w:hAnsiTheme="minorEastAsia" w:eastAsiaTheme="minorEastAsia"/>
        </w:rPr>
      </w:pPr>
      <w:r>
        <w:rPr>
          <w:rFonts w:hint="eastAsia"/>
        </w:rPr>
        <w:t>一、招标人：</w:t>
      </w:r>
      <w:r>
        <w:rPr>
          <w:rFonts w:cs="Times New Roman" w:asciiTheme="minorEastAsia" w:hAnsiTheme="minorEastAsia" w:eastAsiaTheme="minorEastAsia"/>
        </w:rPr>
        <w:t xml:space="preserve"> </w:t>
      </w:r>
      <w:r>
        <w:rPr>
          <w:rFonts w:hint="eastAsia" w:asciiTheme="minorEastAsia" w:hAnsiTheme="minorEastAsia" w:eastAsiaTheme="minorEastAsia"/>
        </w:rPr>
        <w:t>西北大学信息科学与技术学院</w:t>
      </w:r>
    </w:p>
    <w:p>
      <w:pPr>
        <w:pStyle w:val="6"/>
        <w:rPr>
          <w:rFonts w:asciiTheme="minorEastAsia" w:hAnsiTheme="minorEastAsia" w:eastAsiaTheme="minorEastAsia"/>
        </w:rPr>
      </w:pPr>
      <w:r>
        <w:rPr>
          <w:rFonts w:hint="eastAsia"/>
        </w:rPr>
        <w:t>二、项目名称：</w:t>
      </w:r>
      <w:r>
        <w:rPr>
          <w:rFonts w:hint="eastAsia" w:asciiTheme="minorEastAsia" w:hAnsiTheme="minorEastAsia" w:eastAsiaTheme="minorEastAsia"/>
        </w:rPr>
        <w:t>西北大学信息学院</w:t>
      </w:r>
      <w:r>
        <w:rPr>
          <w:rFonts w:hint="eastAsia" w:asciiTheme="minorEastAsia" w:hAnsiTheme="minorEastAsia" w:eastAsiaTheme="minorEastAsia"/>
          <w:lang w:val="en-US" w:eastAsia="zh-CN"/>
        </w:rPr>
        <w:t>心理团辅室装修工程</w:t>
      </w:r>
    </w:p>
    <w:p>
      <w:pPr>
        <w:pStyle w:val="6"/>
        <w:jc w:val="both"/>
        <w:rPr>
          <w:rFonts w:ascii="微软雅黑" w:hAnsi="微软雅黑" w:eastAsia="微软雅黑"/>
        </w:rPr>
      </w:pPr>
      <w:r>
        <w:rPr>
          <w:rFonts w:hint="eastAsia"/>
        </w:rPr>
        <w:t>三、招标方式：</w:t>
      </w:r>
      <w:r>
        <w:rPr>
          <w:rFonts w:ascii="Times New Roman" w:hAnsi="Times New Roman" w:eastAsia="微软雅黑" w:cs="Times New Roman"/>
        </w:rPr>
        <w:t xml:space="preserve"> </w:t>
      </w:r>
      <w:r>
        <w:rPr>
          <w:rFonts w:hint="eastAsia"/>
        </w:rPr>
        <w:t>公开招标、资格预审</w:t>
      </w:r>
    </w:p>
    <w:p>
      <w:pPr>
        <w:rPr>
          <w:rFonts w:cs="仿宋" w:asciiTheme="minorEastAsia" w:hAnsiTheme="minorEastAsia"/>
          <w:sz w:val="24"/>
          <w:szCs w:val="24"/>
        </w:rPr>
      </w:pPr>
      <w:r>
        <w:rPr>
          <w:rFonts w:hint="eastAsia" w:asciiTheme="minorEastAsia" w:hAnsiTheme="minorEastAsia"/>
          <w:sz w:val="24"/>
          <w:szCs w:val="24"/>
        </w:rPr>
        <w:t>四、</w:t>
      </w:r>
      <w:r>
        <w:rPr>
          <w:rFonts w:hint="eastAsia" w:cs="仿宋" w:asciiTheme="minorEastAsia" w:hAnsiTheme="minorEastAsia"/>
          <w:sz w:val="24"/>
          <w:szCs w:val="24"/>
        </w:rPr>
        <w:t xml:space="preserve">承包方式：包工包料 </w:t>
      </w:r>
    </w:p>
    <w:p>
      <w:pPr>
        <w:rPr>
          <w:rFonts w:cs="仿宋" w:asciiTheme="minorEastAsia" w:hAnsiTheme="minorEastAsia"/>
          <w:sz w:val="24"/>
          <w:szCs w:val="24"/>
        </w:rPr>
      </w:pPr>
    </w:p>
    <w:p>
      <w:pPr>
        <w:rPr>
          <w:rFonts w:cs="仿宋" w:asciiTheme="minorEastAsia" w:hAnsiTheme="minorEastAsia"/>
          <w:sz w:val="24"/>
          <w:szCs w:val="24"/>
        </w:rPr>
      </w:pPr>
      <w:r>
        <w:rPr>
          <w:rFonts w:hint="eastAsia" w:cs="仿宋" w:asciiTheme="minorEastAsia" w:hAnsiTheme="minorEastAsia"/>
          <w:sz w:val="24"/>
          <w:szCs w:val="24"/>
        </w:rPr>
        <w:t>五</w:t>
      </w:r>
      <w:r>
        <w:rPr>
          <w:rFonts w:hint="eastAsia" w:cs="仿宋" w:asciiTheme="minorEastAsia" w:hAnsiTheme="minorEastAsia"/>
          <w:color w:val="FF0000"/>
          <w:sz w:val="24"/>
          <w:szCs w:val="24"/>
        </w:rPr>
        <w:t xml:space="preserve"> </w:t>
      </w:r>
      <w:r>
        <w:rPr>
          <w:rFonts w:hint="eastAsia" w:cs="仿宋" w:asciiTheme="minorEastAsia" w:hAnsiTheme="minorEastAsia"/>
          <w:color w:val="000000" w:themeColor="text1"/>
          <w:sz w:val="24"/>
          <w:szCs w:val="24"/>
        </w:rPr>
        <w:t>、</w:t>
      </w:r>
      <w:r>
        <w:rPr>
          <w:rFonts w:hint="eastAsia" w:cs="仿宋" w:asciiTheme="minorEastAsia" w:hAnsiTheme="minorEastAsia"/>
          <w:sz w:val="24"/>
          <w:szCs w:val="24"/>
        </w:rPr>
        <w:t>质量标准：合格</w:t>
      </w:r>
    </w:p>
    <w:p>
      <w:pPr>
        <w:pStyle w:val="6"/>
        <w:jc w:val="both"/>
        <w:rPr>
          <w:rFonts w:ascii="微软雅黑" w:hAnsi="微软雅黑" w:eastAsia="微软雅黑"/>
        </w:rPr>
      </w:pPr>
      <w:r>
        <w:rPr>
          <w:rFonts w:hint="eastAsia"/>
        </w:rPr>
        <w:t>六、工程地点：</w:t>
      </w:r>
      <w:r>
        <w:rPr>
          <w:rFonts w:ascii="Times New Roman" w:hAnsi="Times New Roman" w:eastAsia="微软雅黑" w:cs="Times New Roman"/>
        </w:rPr>
        <w:t xml:space="preserve"> </w:t>
      </w:r>
      <w:r>
        <w:rPr>
          <w:rFonts w:hint="eastAsia"/>
        </w:rPr>
        <w:t>西北大学长安校区</w:t>
      </w:r>
      <w:r>
        <w:rPr>
          <w:rFonts w:ascii="Times New Roman" w:hAnsi="Times New Roman" w:eastAsia="微软雅黑" w:cs="Times New Roman"/>
        </w:rPr>
        <w:t xml:space="preserve"> </w:t>
      </w:r>
    </w:p>
    <w:p>
      <w:pPr>
        <w:pStyle w:val="6"/>
        <w:jc w:val="both"/>
        <w:rPr>
          <w:rFonts w:ascii="微软雅黑" w:hAnsi="微软雅黑" w:eastAsia="微软雅黑"/>
        </w:rPr>
      </w:pPr>
      <w:r>
        <w:rPr>
          <w:rFonts w:hint="eastAsia"/>
        </w:rPr>
        <w:t>七、项目内容：拟对长安校区信息学院新楼</w:t>
      </w:r>
      <w:r>
        <w:rPr>
          <w:rFonts w:hint="eastAsia"/>
          <w:lang w:val="en-US" w:eastAsia="zh-CN"/>
        </w:rPr>
        <w:t>十层心理团辅室进行装修</w:t>
      </w:r>
      <w:r>
        <w:rPr>
          <w:rFonts w:hint="eastAsia"/>
        </w:rPr>
        <w:t>，欢迎符合条件的企业前来报名。（具体内容详见招标文件）</w:t>
      </w:r>
      <w:r>
        <w:rPr>
          <w:rFonts w:ascii="Times New Roman" w:hAnsi="Times New Roman" w:eastAsia="微软雅黑" w:cs="Times New Roman"/>
        </w:rPr>
        <w:t xml:space="preserve"> </w:t>
      </w:r>
    </w:p>
    <w:p>
      <w:pPr>
        <w:pStyle w:val="6"/>
        <w:jc w:val="both"/>
        <w:rPr>
          <w:rFonts w:ascii="微软雅黑" w:hAnsi="微软雅黑" w:eastAsia="微软雅黑"/>
        </w:rPr>
      </w:pPr>
      <w:r>
        <w:rPr>
          <w:rFonts w:hint="eastAsia"/>
        </w:rPr>
        <w:t>八、报名条件：</w:t>
      </w:r>
      <w:r>
        <w:rPr>
          <w:rFonts w:ascii="Times New Roman" w:hAnsi="Times New Roman" w:eastAsia="微软雅黑" w:cs="Times New Roman"/>
        </w:rPr>
        <w:t xml:space="preserve"> </w:t>
      </w:r>
    </w:p>
    <w:p>
      <w:pPr>
        <w:pStyle w:val="6"/>
        <w:jc w:val="both"/>
        <w:rPr>
          <w:rFonts w:ascii="微软雅黑" w:hAnsi="微软雅黑" w:eastAsia="微软雅黑"/>
        </w:rPr>
      </w:pPr>
      <w:r>
        <w:rPr>
          <w:rFonts w:hint="eastAsia"/>
        </w:rPr>
        <w:t>（</w:t>
      </w:r>
      <w:r>
        <w:rPr>
          <w:rFonts w:ascii="Times New Roman" w:hAnsi="Times New Roman" w:eastAsia="微软雅黑" w:cs="Times New Roman"/>
        </w:rPr>
        <w:t>1</w:t>
      </w:r>
      <w:r>
        <w:rPr>
          <w:rFonts w:hint="eastAsia"/>
        </w:rPr>
        <w:t>）投标人应是财务状况良好，能独立承担本次招标内容，并能够出具合法有效的营业执照、组织机构代码证、税务登记证（国、地税均可）。备注：已办理“三证合一”的企业按照国家相关规定执行。</w:t>
      </w:r>
    </w:p>
    <w:p>
      <w:pPr>
        <w:pStyle w:val="6"/>
        <w:jc w:val="both"/>
        <w:rPr>
          <w:rFonts w:asciiTheme="minorEastAsia" w:hAnsiTheme="minorEastAsia" w:eastAsiaTheme="minorEastAsia"/>
        </w:rPr>
      </w:pPr>
      <w:r>
        <w:rPr>
          <w:rFonts w:hint="eastAsia" w:asciiTheme="minorEastAsia" w:hAnsiTheme="minorEastAsia" w:eastAsiaTheme="minorEastAsia"/>
        </w:rPr>
        <w:t>（</w:t>
      </w:r>
      <w:r>
        <w:rPr>
          <w:rFonts w:cs="Times New Roman" w:asciiTheme="minorEastAsia" w:hAnsiTheme="minorEastAsia" w:eastAsiaTheme="minorEastAsia"/>
        </w:rPr>
        <w:t>2</w:t>
      </w:r>
      <w:r>
        <w:rPr>
          <w:rFonts w:hint="eastAsia" w:asciiTheme="minorEastAsia" w:hAnsiTheme="minorEastAsia" w:eastAsiaTheme="minorEastAsia"/>
        </w:rPr>
        <w:t>）</w:t>
      </w:r>
      <w:r>
        <w:rPr>
          <w:rFonts w:asciiTheme="minorEastAsia" w:hAnsiTheme="minorEastAsia" w:eastAsiaTheme="minorEastAsia"/>
        </w:rPr>
        <w:t>参加施工</w:t>
      </w:r>
      <w:r>
        <w:rPr>
          <w:rFonts w:hint="eastAsia" w:asciiTheme="minorEastAsia" w:hAnsiTheme="minorEastAsia" w:eastAsiaTheme="minorEastAsia"/>
        </w:rPr>
        <w:t>的</w:t>
      </w:r>
      <w:r>
        <w:rPr>
          <w:rFonts w:asciiTheme="minorEastAsia" w:hAnsiTheme="minorEastAsia" w:eastAsiaTheme="minorEastAsia"/>
        </w:rPr>
        <w:t>单位必须具有被授予合同的资格，投标单位应提供令招标单位满意的资格文件，以证明其符合投标条件和具有履行合同的能力。</w:t>
      </w:r>
    </w:p>
    <w:p>
      <w:pPr>
        <w:pStyle w:val="6"/>
        <w:jc w:val="both"/>
        <w:rPr>
          <w:rFonts w:ascii="微软雅黑" w:hAnsi="微软雅黑" w:eastAsia="微软雅黑"/>
        </w:rPr>
      </w:pPr>
      <w:r>
        <w:rPr>
          <w:rFonts w:hint="eastAsia"/>
        </w:rPr>
        <w:t>九、报名办法：</w:t>
      </w:r>
      <w:r>
        <w:rPr>
          <w:rFonts w:ascii="Times New Roman" w:hAnsi="Times New Roman" w:eastAsia="微软雅黑" w:cs="Times New Roman"/>
        </w:rPr>
        <w:t xml:space="preserve"> </w:t>
      </w:r>
    </w:p>
    <w:p>
      <w:pPr>
        <w:pStyle w:val="6"/>
        <w:jc w:val="both"/>
        <w:rPr>
          <w:rFonts w:ascii="微软雅黑" w:hAnsi="微软雅黑" w:eastAsia="微软雅黑"/>
        </w:rPr>
      </w:pPr>
      <w:r>
        <w:rPr>
          <w:rFonts w:hint="eastAsia"/>
        </w:rPr>
        <w:t>持以下资料原件和加盖单位公章的复印件报名：法定代表人授权委托书、被委托代理人身份证（法定代表人直接投标只需提交其身份证原件）、企业营业执照副本、税务登记证副本、组织机构代码证副本（已经办理三证合一的企业执行相关规定）、唯一授权书、业绩合同等相关企业证件。以上资料原件核验后现场退还，同时提交投标企业的复印件贰份。</w:t>
      </w:r>
    </w:p>
    <w:p>
      <w:pPr>
        <w:pStyle w:val="6"/>
        <w:jc w:val="both"/>
        <w:rPr>
          <w:rFonts w:ascii="微软雅黑" w:hAnsi="微软雅黑" w:eastAsia="微软雅黑"/>
        </w:rPr>
      </w:pPr>
      <w:r>
        <w:rPr>
          <w:rFonts w:hint="eastAsia"/>
        </w:rPr>
        <w:t>十、其他要求：</w:t>
      </w:r>
      <w:r>
        <w:rPr>
          <w:rFonts w:ascii="Times New Roman" w:hAnsi="Times New Roman" w:eastAsia="微软雅黑" w:cs="Times New Roman"/>
        </w:rPr>
        <w:t xml:space="preserve"> </w:t>
      </w:r>
    </w:p>
    <w:p>
      <w:pPr>
        <w:spacing w:line="600" w:lineRule="exact"/>
        <w:ind w:firstLine="235" w:firstLineChars="98"/>
        <w:rPr>
          <w:rFonts w:cs="仿宋" w:asciiTheme="minorEastAsia" w:hAnsiTheme="minorEastAsia"/>
          <w:sz w:val="24"/>
          <w:szCs w:val="24"/>
        </w:rPr>
      </w:pPr>
      <w:r>
        <w:rPr>
          <w:rFonts w:hint="eastAsia" w:asciiTheme="minorEastAsia" w:hAnsiTheme="minorEastAsia"/>
          <w:sz w:val="24"/>
          <w:szCs w:val="24"/>
        </w:rPr>
        <w:t>1.本项目不接受传真及电子邮件报名，不接受联合体报名。</w:t>
      </w:r>
    </w:p>
    <w:p>
      <w:pPr>
        <w:spacing w:line="600" w:lineRule="exact"/>
        <w:ind w:firstLine="235" w:firstLineChars="98"/>
        <w:rPr>
          <w:rFonts w:cs="仿宋" w:asciiTheme="minorEastAsia" w:hAnsiTheme="minorEastAsia"/>
          <w:sz w:val="24"/>
          <w:szCs w:val="24"/>
        </w:rPr>
      </w:pPr>
      <w:r>
        <w:rPr>
          <w:rFonts w:hint="eastAsia" w:cs="仿宋" w:asciiTheme="minorEastAsia" w:hAnsiTheme="minorEastAsia"/>
          <w:sz w:val="24"/>
          <w:szCs w:val="24"/>
        </w:rPr>
        <w:t>2.工程报价需要注意的问题:</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a本项目标书中采用清单报价，可不使用广联达计价软件，各投标单位自行考虑清单内所需其他附带设备或材料，如未考虑的，视为免费提供。所填报的单价及总价必须包含所有可能产生的费用规费、税金、人工费、材料费等及风险因素。招标人不因任何原因对单价予以调整。</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b所有材料必须使用合格产品，如图纸、清单或招标文件对材质、品牌等有明确要求的，不得变更相关要求，主要材料使用前应当由招标人确认合格。</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c由招标人确认需进行工程量清单增减按签证变更处理并办理结算。</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d工程施工完毕后需对施工场地进行保洁，保洁标准达到招标人要求。</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e项目原址需要拆除的设施及相关费用在报价时候综合考虑，不再另行支付，且拆除时需要确保玻璃、消防设备等成品的完整，拆除后的原来材料所有权归建设方所有，并放置在招标人指定位置；如建设方表示拆除后的材料不再回收使用的，则按照垃圾清理；投标人在报价中综合考虑垃圾清理费用，招标人不予签证或增加费用。</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f投标人所有报价应当充分考虑施工中深化设计的费用，中标后，建设方不再另行支付与深化设计有关的费用。</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g施工过程中间如由于施工的需要损坏或重新安装其他设备或材料的，投标人在报价中综合考虑，招标人不予签证或增加费用。</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h投标人应当自行踏勘施工现场及条件，综合考虑可能发生的全部费用及清单项（含配合费用、社会干扰、政策影响等各种影响因素），并在报价时报价，未明确的，视为已经在报价中包括了所有可能产生的费用。</w:t>
      </w:r>
    </w:p>
    <w:p>
      <w:pPr>
        <w:spacing w:line="600" w:lineRule="exact"/>
        <w:ind w:firstLine="240" w:firstLineChars="100"/>
        <w:rPr>
          <w:rFonts w:asciiTheme="minorEastAsia" w:hAnsiTheme="minorEastAsia"/>
          <w:b/>
          <w:sz w:val="24"/>
          <w:szCs w:val="24"/>
        </w:rPr>
      </w:pPr>
      <w:r>
        <w:rPr>
          <w:rFonts w:hint="eastAsia" w:asciiTheme="minorEastAsia" w:hAnsiTheme="minorEastAsia"/>
          <w:sz w:val="24"/>
          <w:szCs w:val="24"/>
        </w:rPr>
        <w:t>i如项目实施期间，国家对税收进行调整的，按相关规定执行。但招标人不因该原因增加任何费用。请投标人在报价时综合考虑。</w:t>
      </w:r>
    </w:p>
    <w:p>
      <w:pPr>
        <w:spacing w:line="600" w:lineRule="exact"/>
        <w:ind w:left="-1" w:firstLine="480" w:firstLineChars="200"/>
        <w:rPr>
          <w:rFonts w:asciiTheme="minorEastAsia" w:hAnsiTheme="minorEastAsia"/>
          <w:sz w:val="24"/>
          <w:szCs w:val="24"/>
        </w:rPr>
      </w:pPr>
      <w:r>
        <w:rPr>
          <w:rFonts w:hint="eastAsia" w:cs="仿宋" w:asciiTheme="minorEastAsia" w:hAnsiTheme="minorEastAsia"/>
          <w:sz w:val="24"/>
          <w:szCs w:val="24"/>
        </w:rPr>
        <w:t>3. 投标文件份数：投标书贰套，电子文件一套（投标人自备U盘一个，内刻录所有投标文件），密封完成并加盖公章和法人印章。商务标、技术标投标文件须分别胶装后递交，未按此要求装订的文件，将视为无效投标文件。</w:t>
      </w:r>
    </w:p>
    <w:p>
      <w:pPr>
        <w:spacing w:line="600" w:lineRule="exact"/>
        <w:ind w:left="-1" w:firstLine="482" w:firstLineChars="200"/>
        <w:rPr>
          <w:rFonts w:asciiTheme="minorEastAsia" w:hAnsiTheme="minorEastAsia"/>
          <w:sz w:val="24"/>
          <w:szCs w:val="24"/>
        </w:rPr>
      </w:pPr>
      <w:r>
        <w:rPr>
          <w:rFonts w:hint="eastAsia" w:cs="仿宋" w:asciiTheme="minorEastAsia" w:hAnsiTheme="minorEastAsia"/>
          <w:b/>
          <w:sz w:val="24"/>
          <w:szCs w:val="24"/>
        </w:rPr>
        <w:t>4.</w:t>
      </w:r>
      <w:r>
        <w:rPr>
          <w:rFonts w:hint="eastAsia" w:cs="仿宋" w:asciiTheme="minorEastAsia" w:hAnsiTheme="minorEastAsia"/>
          <w:sz w:val="24"/>
          <w:szCs w:val="24"/>
        </w:rPr>
        <w:t xml:space="preserve"> 投标单位应结合本工程实际情况，对投标报价的主要材料提供所要求的样品，提出详细的建设方案、主要材料设备的加工、安装方式及安装周期、质量保证及售后服务承诺、投标方提出的合理化建议及其他需要说明的问题（包括规格、用材、质保期、后期产品维修管理费用及备品备件等）</w:t>
      </w:r>
    </w:p>
    <w:p>
      <w:pPr>
        <w:spacing w:line="600" w:lineRule="exact"/>
        <w:ind w:left="-1" w:firstLine="482" w:firstLineChars="200"/>
        <w:rPr>
          <w:rFonts w:asciiTheme="minorEastAsia" w:hAnsiTheme="minorEastAsia"/>
          <w:sz w:val="24"/>
          <w:szCs w:val="24"/>
        </w:rPr>
      </w:pPr>
      <w:r>
        <w:rPr>
          <w:rFonts w:hint="eastAsia" w:cs="仿宋" w:asciiTheme="minorEastAsia" w:hAnsiTheme="minorEastAsia"/>
          <w:b/>
          <w:sz w:val="24"/>
          <w:szCs w:val="24"/>
        </w:rPr>
        <w:t>5.</w:t>
      </w:r>
      <w:r>
        <w:rPr>
          <w:rFonts w:hint="eastAsia" w:cs="仿宋" w:asciiTheme="minorEastAsia" w:hAnsiTheme="minorEastAsia"/>
          <w:sz w:val="24"/>
          <w:szCs w:val="24"/>
        </w:rPr>
        <w:t xml:space="preserve"> 投标文件必须对是否全面响应招标文件的内容要求、工期、质保、报价情况等作出承诺说明。</w:t>
      </w:r>
    </w:p>
    <w:p>
      <w:pPr>
        <w:spacing w:line="600" w:lineRule="exact"/>
        <w:ind w:left="-1" w:firstLine="482" w:firstLineChars="200"/>
        <w:rPr>
          <w:rFonts w:asciiTheme="minorEastAsia" w:hAnsiTheme="minorEastAsia"/>
          <w:sz w:val="24"/>
          <w:szCs w:val="24"/>
        </w:rPr>
      </w:pPr>
      <w:r>
        <w:rPr>
          <w:rFonts w:hint="eastAsia" w:cs="仿宋" w:asciiTheme="minorEastAsia" w:hAnsiTheme="minorEastAsia"/>
          <w:b/>
          <w:sz w:val="24"/>
          <w:szCs w:val="24"/>
        </w:rPr>
        <w:t>6.</w:t>
      </w:r>
      <w:r>
        <w:rPr>
          <w:rFonts w:hint="eastAsia" w:cs="仿宋" w:asciiTheme="minorEastAsia" w:hAnsiTheme="minorEastAsia"/>
          <w:sz w:val="24"/>
          <w:szCs w:val="24"/>
        </w:rPr>
        <w:t xml:space="preserve"> 为有利于评标，招标单位可随时请投标人对其投标文件某些内容予以澄清。</w:t>
      </w:r>
    </w:p>
    <w:p>
      <w:pPr>
        <w:spacing w:line="600" w:lineRule="exact"/>
        <w:rPr>
          <w:rFonts w:asciiTheme="minorEastAsia" w:hAnsiTheme="minorEastAsia"/>
          <w:bCs/>
          <w:sz w:val="24"/>
          <w:szCs w:val="24"/>
        </w:rPr>
      </w:pPr>
      <w:r>
        <w:rPr>
          <w:rFonts w:hint="eastAsia" w:cs="仿宋" w:asciiTheme="minorEastAsia" w:hAnsiTheme="minorEastAsia"/>
          <w:b/>
          <w:bCs/>
          <w:sz w:val="24"/>
          <w:szCs w:val="24"/>
        </w:rPr>
        <w:t xml:space="preserve">   </w:t>
      </w:r>
      <w:r>
        <w:rPr>
          <w:rFonts w:hint="eastAsia" w:cs="仿宋" w:asciiTheme="minorEastAsia" w:hAnsiTheme="minorEastAsia"/>
          <w:bCs/>
          <w:sz w:val="24"/>
          <w:szCs w:val="24"/>
        </w:rPr>
        <w:t xml:space="preserve"> 7.材料质量及技术要求：</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（一）工程所用原材料及设备配件必须是国家定点厂家省、部以上名优产品，其质量必须符合国家同类产品质量检验标准，且应满足设计要求。</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（二）所提供的主材及设备必须是招标文件所规定的产品规格及型号。</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三）投标单位所提供的配电元器件及线缆必须达到国家最新规范要求质量标准，并附有线缆的检验报告（包括导体、绝缘、屏蔽、放电、工频耐压等）和3C认证。各种线缆均应穿阻燃线管，接头处应封胶处理，并固定牢固。</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 xml:space="preserve">（四） 所有工艺按学校最终通知（认可）要求的数量和位置进行行业标准安装，确保长期坚固、使用方便、美观；整体上要保证所提供的规格、样式、材质与要求一致。 </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（五） 做好新装修区域设备周围的环境保护工作，不能破坏相关附属设施，否则照价赔偿并进行恢复。</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（六） 如对建筑结构本身和环境造成影响，必须提前告知甲方，且做好安装和恢复工作。</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（七） 为评标的客观性，投标时投标单位须提供符合现场规格及标书要求的投标方案。</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十一、投标报价编制有关事项：</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1. 投标单位应实地考察，核对工程内容及工程量，依据实际情况和甲方要求做出符合实际的投标报价书及施工方案。</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2、投标单位按照统一工程量进行投标报价。如投标单位在领取招标文件后踏勘现场时，发现招标文件统一工程量与现场实际工程量有较大差异时，须在答疑会议时向招标方提出，经招标单位核实，招标单位将随答疑纪要发放核实调整后的新的统一工程量清单，所有投标单位必须按最终工程量清单投标报价。</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本次报价</w:t>
      </w:r>
      <w:r>
        <w:rPr>
          <w:rFonts w:hint="eastAsia" w:asciiTheme="minorEastAsia" w:hAnsiTheme="minorEastAsia"/>
          <w:sz w:val="24"/>
          <w:szCs w:val="24"/>
        </w:rPr>
        <w:t>原则上</w:t>
      </w:r>
      <w:r>
        <w:rPr>
          <w:rFonts w:asciiTheme="minorEastAsia" w:hAnsiTheme="minorEastAsia"/>
          <w:sz w:val="24"/>
          <w:szCs w:val="24"/>
        </w:rPr>
        <w:t>为一次性报价</w:t>
      </w:r>
      <w:r>
        <w:rPr>
          <w:rFonts w:hint="eastAsia" w:asciiTheme="minorEastAsia" w:hAnsiTheme="minorEastAsia"/>
          <w:sz w:val="24"/>
          <w:szCs w:val="24"/>
        </w:rPr>
        <w:t>，如遇偏离行业和市场报价，招标单位有权进行价格质询和最终报价</w:t>
      </w:r>
      <w:r>
        <w:rPr>
          <w:rFonts w:asciiTheme="minorEastAsia" w:hAnsiTheme="minorEastAsia"/>
          <w:sz w:val="24"/>
          <w:szCs w:val="24"/>
        </w:rPr>
        <w:t>。本工程实行工程量范围内投标报价（</w:t>
      </w:r>
      <w:r>
        <w:rPr>
          <w:rFonts w:hint="eastAsia" w:asciiTheme="minorEastAsia" w:hAnsiTheme="minorEastAsia"/>
          <w:sz w:val="24"/>
          <w:szCs w:val="24"/>
        </w:rPr>
        <w:t>固定综合</w:t>
      </w:r>
      <w:r>
        <w:rPr>
          <w:rFonts w:asciiTheme="minorEastAsia" w:hAnsiTheme="minorEastAsia"/>
          <w:sz w:val="24"/>
          <w:szCs w:val="24"/>
        </w:rPr>
        <w:t>单价）一次包干的办法</w:t>
      </w:r>
      <w:r>
        <w:rPr>
          <w:rFonts w:hint="eastAsia" w:asciiTheme="minorEastAsia" w:hAnsiTheme="minorEastAsia"/>
          <w:sz w:val="24"/>
          <w:szCs w:val="24"/>
        </w:rPr>
        <w:t>。</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4、如果发生恶意砸标抬标或弄虚作假的现象，招标方有权中止招标。</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5、工程承包方在施工中应依据有关规定保护环境不受污染，并采取相应措施保障人身、财产安全。</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6、工程承包方对涉及工程范围内的相关改造内容应作充分考虑，不能随意改动房屋结构，若涉及水电暖等管网影响必须有动力服务中心相关负责人现场指导，若涉及消防设施的改动须征得校公安处的同意并在其相关负责人的指导下完成。</w:t>
      </w:r>
    </w:p>
    <w:p>
      <w:pPr>
        <w:spacing w:line="600" w:lineRule="exact"/>
        <w:ind w:firstLine="240" w:firstLineChars="100"/>
        <w:rPr>
          <w:rFonts w:asciiTheme="minorEastAsia" w:hAnsiTheme="minorEastAsia"/>
          <w:sz w:val="24"/>
          <w:szCs w:val="24"/>
        </w:rPr>
      </w:pPr>
      <w:r>
        <w:rPr>
          <w:rFonts w:hint="eastAsia" w:asciiTheme="minorEastAsia" w:hAnsiTheme="minorEastAsia"/>
          <w:sz w:val="24"/>
          <w:szCs w:val="24"/>
        </w:rPr>
        <w:t>7、施工过程中所用水、电等相关费用按后附《施工申请表》由工程承包方承担。中标单位须在收到中标通知后，分别到动力服务中心和校区物业中心办理有关水、电使用手续和卫生手续及垃圾管理押金手续，并以此手续作为工程竣工验收的条件之一。</w:t>
      </w:r>
    </w:p>
    <w:p>
      <w:pPr>
        <w:pStyle w:val="6"/>
        <w:jc w:val="both"/>
        <w:rPr>
          <w:rFonts w:asciiTheme="minorEastAsia" w:hAnsiTheme="minorEastAsia" w:eastAsiaTheme="minorEastAsia"/>
        </w:rPr>
      </w:pPr>
      <w:r>
        <w:rPr>
          <w:rFonts w:hint="eastAsia" w:asciiTheme="minorEastAsia" w:hAnsiTheme="minorEastAsia" w:eastAsiaTheme="minorEastAsia"/>
        </w:rPr>
        <w:t>8、垃圾必须当天自行外运，不准带入非施工区。散碎垃圾须以袋装形式运送楼下，</w:t>
      </w:r>
    </w:p>
    <w:p>
      <w:pPr>
        <w:pStyle w:val="6"/>
        <w:jc w:val="both"/>
        <w:rPr>
          <w:rFonts w:asciiTheme="minorEastAsia" w:hAnsiTheme="minorEastAsia" w:eastAsiaTheme="minorEastAsia"/>
        </w:rPr>
      </w:pPr>
      <w:r>
        <w:rPr>
          <w:rFonts w:hint="eastAsia" w:asciiTheme="minorEastAsia" w:hAnsiTheme="minorEastAsia" w:eastAsiaTheme="minorEastAsia"/>
        </w:rPr>
        <w:t>禁止从楼上直接向楼外抛洒，影响学校正常教学环境。</w:t>
      </w:r>
    </w:p>
    <w:p>
      <w:pPr>
        <w:pStyle w:val="6"/>
        <w:jc w:val="both"/>
        <w:rPr>
          <w:rFonts w:ascii="Times New Roman" w:hAnsi="Times New Roman" w:eastAsia="微软雅黑" w:cs="Times New Roman"/>
        </w:rPr>
      </w:pPr>
      <w:r>
        <w:rPr>
          <w:rFonts w:ascii="Times New Roman" w:hAnsi="Times New Roman" w:eastAsia="微软雅黑" w:cs="Times New Roman"/>
        </w:rPr>
        <w:t xml:space="preserve"> </w:t>
      </w:r>
      <w:r>
        <w:rPr>
          <w:rFonts w:hint="eastAsia"/>
        </w:rPr>
        <w:t>十二、报名时间：</w:t>
      </w:r>
      <w:r>
        <w:rPr>
          <w:rFonts w:cs="Times New Roman" w:asciiTheme="minorEastAsia" w:hAnsiTheme="minorEastAsia" w:eastAsiaTheme="minorEastAsia"/>
        </w:rPr>
        <w:t>20</w:t>
      </w:r>
      <w:r>
        <w:rPr>
          <w:rFonts w:hint="eastAsia" w:cs="Times New Roman" w:asciiTheme="minorEastAsia" w:hAnsiTheme="minorEastAsia" w:eastAsiaTheme="minorEastAsia"/>
        </w:rPr>
        <w:t>18</w:t>
      </w:r>
      <w:r>
        <w:rPr>
          <w:rFonts w:hint="eastAsia" w:asciiTheme="minorEastAsia" w:hAnsiTheme="minorEastAsia" w:eastAsiaTheme="minorEastAsia"/>
        </w:rPr>
        <w:t>年4月</w:t>
      </w:r>
      <w:r>
        <w:rPr>
          <w:rFonts w:hint="eastAsia" w:asciiTheme="minorEastAsia" w:hAnsiTheme="minorEastAsia" w:eastAsiaTheme="minorEastAsia"/>
          <w:lang w:val="en-US" w:eastAsia="zh-CN"/>
        </w:rPr>
        <w:t>3</w:t>
      </w:r>
      <w:bookmarkStart w:id="1" w:name="_GoBack"/>
      <w:bookmarkEnd w:id="1"/>
      <w:r>
        <w:rPr>
          <w:rFonts w:hint="eastAsia" w:asciiTheme="minorEastAsia" w:hAnsiTheme="minorEastAsia" w:eastAsiaTheme="minorEastAsia"/>
        </w:rPr>
        <w:t>日至2018年4月</w:t>
      </w:r>
      <w:r>
        <w:rPr>
          <w:rFonts w:hint="eastAsia" w:asciiTheme="minorEastAsia" w:hAnsiTheme="minorEastAsia" w:eastAsiaTheme="minorEastAsia"/>
          <w:lang w:val="en-US" w:eastAsia="zh-CN"/>
        </w:rPr>
        <w:t>8</w:t>
      </w:r>
      <w:r>
        <w:rPr>
          <w:rFonts w:hint="eastAsia" w:asciiTheme="minorEastAsia" w:hAnsiTheme="minorEastAsia" w:eastAsiaTheme="minorEastAsia"/>
        </w:rPr>
        <w:t>日（节假日除外）</w:t>
      </w:r>
    </w:p>
    <w:p>
      <w:pPr>
        <w:pStyle w:val="6"/>
        <w:ind w:firstLine="974"/>
        <w:jc w:val="both"/>
        <w:rPr>
          <w:rFonts w:ascii="微软雅黑" w:hAnsi="微软雅黑" w:eastAsia="微软雅黑"/>
        </w:rPr>
      </w:pPr>
      <w:r>
        <w:rPr>
          <w:rFonts w:hint="eastAsia"/>
        </w:rPr>
        <w:t xml:space="preserve">        上午：</w:t>
      </w:r>
      <w:r>
        <w:rPr>
          <w:rFonts w:ascii="Times New Roman" w:hAnsi="Times New Roman" w:eastAsia="微软雅黑" w:cs="Times New Roman"/>
        </w:rPr>
        <w:t>8</w:t>
      </w:r>
      <w:r>
        <w:rPr>
          <w:rFonts w:hint="eastAsia"/>
        </w:rPr>
        <w:t>：</w:t>
      </w:r>
      <w:r>
        <w:rPr>
          <w:rFonts w:ascii="Times New Roman" w:hAnsi="Times New Roman" w:eastAsia="微软雅黑" w:cs="Times New Roman"/>
        </w:rPr>
        <w:t>30 ---11</w:t>
      </w:r>
      <w:r>
        <w:rPr>
          <w:rFonts w:hint="eastAsia"/>
        </w:rPr>
        <w:t>：</w:t>
      </w:r>
      <w:r>
        <w:rPr>
          <w:rFonts w:ascii="Times New Roman" w:hAnsi="Times New Roman" w:eastAsia="微软雅黑" w:cs="Times New Roman"/>
        </w:rPr>
        <w:t xml:space="preserve">00 </w:t>
      </w:r>
      <w:r>
        <w:rPr>
          <w:rFonts w:hint="eastAsia"/>
        </w:rPr>
        <w:t>下午：</w:t>
      </w:r>
      <w:r>
        <w:rPr>
          <w:rFonts w:ascii="Times New Roman" w:hAnsi="Times New Roman" w:eastAsia="微软雅黑" w:cs="Times New Roman"/>
        </w:rPr>
        <w:t>14</w:t>
      </w:r>
      <w:r>
        <w:rPr>
          <w:rFonts w:hint="eastAsia"/>
        </w:rPr>
        <w:t>：</w:t>
      </w:r>
      <w:r>
        <w:rPr>
          <w:rFonts w:ascii="Times New Roman" w:hAnsi="Times New Roman" w:eastAsia="微软雅黑" w:cs="Times New Roman"/>
        </w:rPr>
        <w:t>30 --16</w:t>
      </w:r>
      <w:r>
        <w:rPr>
          <w:rFonts w:hint="eastAsia"/>
        </w:rPr>
        <w:t>：</w:t>
      </w:r>
      <w:r>
        <w:rPr>
          <w:rFonts w:ascii="Times New Roman" w:hAnsi="Times New Roman" w:eastAsia="微软雅黑" w:cs="Times New Roman"/>
        </w:rPr>
        <w:t>30</w:t>
      </w:r>
    </w:p>
    <w:p>
      <w:pPr>
        <w:pStyle w:val="6"/>
        <w:jc w:val="both"/>
      </w:pPr>
      <w:r>
        <w:rPr>
          <w:rFonts w:hint="eastAsia"/>
        </w:rPr>
        <w:t>十三、报名地点：西安市长安区郭杜教育科技产业区学府大道</w:t>
      </w:r>
      <w:r>
        <w:rPr>
          <w:rFonts w:ascii="Times New Roman" w:hAnsi="Times New Roman" w:eastAsia="微软雅黑" w:cs="Times New Roman"/>
        </w:rPr>
        <w:t>1</w:t>
      </w:r>
      <w:r>
        <w:rPr>
          <w:rFonts w:hint="eastAsia"/>
        </w:rPr>
        <w:t>号，西北大学信息科</w:t>
      </w:r>
    </w:p>
    <w:p>
      <w:pPr>
        <w:pStyle w:val="6"/>
        <w:jc w:val="both"/>
        <w:rPr>
          <w:rFonts w:ascii="微软雅黑" w:hAnsi="微软雅黑" w:eastAsia="微软雅黑"/>
        </w:rPr>
      </w:pPr>
      <w:r>
        <w:rPr>
          <w:rFonts w:hint="eastAsia"/>
        </w:rPr>
        <w:t xml:space="preserve">                学与技术学院</w:t>
      </w:r>
      <w:r>
        <w:rPr>
          <w:rFonts w:hint="eastAsia"/>
          <w:lang w:val="en-US" w:eastAsia="zh-CN"/>
        </w:rPr>
        <w:t>3</w:t>
      </w:r>
      <w:r>
        <w:rPr>
          <w:rFonts w:ascii="Times New Roman" w:hAnsi="Times New Roman" w:eastAsia="微软雅黑" w:cs="Times New Roman"/>
        </w:rPr>
        <w:t>01</w:t>
      </w:r>
      <w:r>
        <w:rPr>
          <w:rFonts w:hint="eastAsia"/>
        </w:rPr>
        <w:t>室（长安校区）</w:t>
      </w:r>
      <w:r>
        <w:rPr>
          <w:rFonts w:ascii="Times New Roman" w:hAnsi="Times New Roman" w:eastAsia="微软雅黑" w:cs="Times New Roman"/>
        </w:rPr>
        <w:t xml:space="preserve"> </w:t>
      </w:r>
    </w:p>
    <w:p>
      <w:pPr>
        <w:pStyle w:val="6"/>
        <w:jc w:val="both"/>
        <w:rPr>
          <w:rFonts w:ascii="微软雅黑" w:hAnsi="微软雅黑" w:eastAsia="微软雅黑"/>
        </w:rPr>
      </w:pPr>
      <w:r>
        <w:rPr>
          <w:rFonts w:hint="eastAsia"/>
        </w:rPr>
        <w:t>十四、联系人：</w:t>
      </w:r>
      <w:r>
        <w:rPr>
          <w:rFonts w:hint="eastAsia"/>
          <w:lang w:val="en-US" w:eastAsia="zh-CN"/>
        </w:rPr>
        <w:t>曹</w:t>
      </w:r>
      <w:r>
        <w:rPr>
          <w:rFonts w:hint="eastAsia"/>
        </w:rPr>
        <w:t>老师</w:t>
      </w:r>
      <w:r>
        <w:rPr>
          <w:rFonts w:ascii="Times New Roman" w:hAnsi="Times New Roman" w:eastAsia="微软雅黑" w:cs="Times New Roman"/>
        </w:rPr>
        <w:t xml:space="preserve">   </w:t>
      </w:r>
      <w:r>
        <w:rPr>
          <w:rFonts w:hint="eastAsia" w:ascii="微软雅黑" w:hAnsi="微软雅黑" w:eastAsia="微软雅黑"/>
        </w:rPr>
        <w:t>电话：</w:t>
      </w:r>
      <w:r>
        <w:rPr>
          <w:rFonts w:ascii="Times New Roman" w:hAnsi="Times New Roman" w:eastAsia="微软雅黑" w:cs="Times New Roman"/>
        </w:rPr>
        <w:t>883081</w:t>
      </w:r>
      <w:r>
        <w:rPr>
          <w:rFonts w:hint="eastAsia" w:ascii="Times New Roman" w:hAnsi="Times New Roman" w:eastAsia="微软雅黑" w:cs="Times New Roman"/>
          <w:lang w:val="en-US" w:eastAsia="zh-CN"/>
        </w:rPr>
        <w:t>23</w:t>
      </w:r>
      <w:r>
        <w:rPr>
          <w:rFonts w:ascii="Times New Roman" w:hAnsi="Times New Roman" w:eastAsia="微软雅黑" w:cs="Times New Roman"/>
        </w:rPr>
        <w:t xml:space="preserve"> </w:t>
      </w:r>
    </w:p>
    <w:p>
      <w:pPr>
        <w:pStyle w:val="6"/>
        <w:jc w:val="right"/>
        <w:rPr>
          <w:rFonts w:ascii="微软雅黑" w:hAnsi="微软雅黑" w:eastAsia="微软雅黑"/>
        </w:rPr>
      </w:pPr>
      <w:r>
        <w:rPr>
          <w:rFonts w:hint="eastAsia"/>
        </w:rPr>
        <w:t>信息科学与技术学院</w:t>
      </w:r>
      <w:r>
        <w:rPr>
          <w:rFonts w:ascii="Times New Roman" w:hAnsi="Times New Roman" w:eastAsia="微软雅黑" w:cs="Times New Roman"/>
        </w:rPr>
        <w:t xml:space="preserve"> </w:t>
      </w:r>
    </w:p>
    <w:p>
      <w:pPr>
        <w:pStyle w:val="6"/>
        <w:jc w:val="right"/>
        <w:rPr>
          <w:rFonts w:asciiTheme="minorEastAsia" w:hAnsiTheme="minorEastAsia" w:eastAsiaTheme="minorEastAsia"/>
        </w:rPr>
      </w:pPr>
      <w:r>
        <w:rPr>
          <w:rFonts w:hint="eastAsia" w:cs="Times New Roman" w:asciiTheme="minorEastAsia" w:hAnsiTheme="minorEastAsia" w:eastAsiaTheme="minorEastAsia"/>
        </w:rPr>
        <w:t>2018</w:t>
      </w:r>
      <w:r>
        <w:rPr>
          <w:rFonts w:hint="eastAsia" w:asciiTheme="minorEastAsia" w:hAnsiTheme="minorEastAsia" w:eastAsiaTheme="minorEastAsia"/>
        </w:rPr>
        <w:t>年12月</w:t>
      </w:r>
      <w:r>
        <w:rPr>
          <w:rFonts w:hint="eastAsia" w:cs="Times New Roman" w:asciiTheme="minorEastAsia" w:hAnsiTheme="minorEastAsia" w:eastAsiaTheme="minorEastAsia"/>
        </w:rPr>
        <w:t>26</w:t>
      </w:r>
      <w:r>
        <w:rPr>
          <w:rFonts w:hint="eastAsia" w:asciiTheme="minorEastAsia" w:hAnsiTheme="minorEastAsia" w:eastAsiaTheme="minorEastAsia"/>
        </w:rPr>
        <w:t>日</w:t>
      </w:r>
    </w:p>
    <w:p>
      <w:pPr>
        <w:pStyle w:val="6"/>
        <w:jc w:val="right"/>
        <w:rPr>
          <w:rFonts w:asciiTheme="minorEastAsia" w:hAnsiTheme="minorEastAsia" w:eastAsiaTheme="minorEastAsia"/>
        </w:rPr>
      </w:pPr>
    </w:p>
    <w:p>
      <w:pPr>
        <w:widowControl/>
        <w:shd w:val="clear" w:color="auto" w:fill="FFFFFF"/>
        <w:spacing w:line="360" w:lineRule="atLeast"/>
        <w:jc w:val="center"/>
        <w:rPr>
          <w:rFonts w:ascii="仿宋_GB2312" w:hAnsi="仿宋" w:eastAsia="仿宋_GB2312" w:cs="仿宋"/>
          <w:kern w:val="0"/>
          <w:sz w:val="28"/>
          <w:szCs w:val="28"/>
        </w:rPr>
      </w:pPr>
      <w:bookmarkStart w:id="0" w:name="_Toc483142249"/>
      <w:r>
        <w:rPr>
          <w:rFonts w:hint="eastAsia" w:ascii="仿宋_GB2312" w:hAnsi="仿宋" w:eastAsia="仿宋_GB2312" w:cs="仿宋"/>
          <w:kern w:val="0"/>
          <w:sz w:val="28"/>
          <w:szCs w:val="28"/>
        </w:rPr>
        <w:t>报价一览表</w:t>
      </w:r>
      <w:bookmarkEnd w:id="0"/>
    </w:p>
    <w:p>
      <w:pPr>
        <w:widowControl/>
        <w:shd w:val="clear" w:color="auto" w:fill="FFFFFF"/>
        <w:spacing w:line="360" w:lineRule="atLeast"/>
        <w:jc w:val="left"/>
        <w:rPr>
          <w:rFonts w:ascii="仿宋_GB2312" w:hAnsi="仿宋" w:eastAsia="仿宋_GB2312" w:cs="仿宋"/>
          <w:kern w:val="0"/>
          <w:sz w:val="28"/>
          <w:szCs w:val="28"/>
        </w:rPr>
      </w:pPr>
      <w:r>
        <w:rPr>
          <w:rFonts w:hint="eastAsia" w:ascii="仿宋_GB2312" w:hAnsi="仿宋" w:eastAsia="仿宋_GB2312" w:cs="仿宋"/>
          <w:kern w:val="0"/>
          <w:sz w:val="28"/>
          <w:szCs w:val="28"/>
        </w:rPr>
        <w:t>工程名称：</w:t>
      </w:r>
    </w:p>
    <w:tbl>
      <w:tblPr>
        <w:tblStyle w:val="7"/>
        <w:tblpPr w:leftFromText="180" w:rightFromText="180" w:vertAnchor="text" w:tblpY="1"/>
        <w:tblOverlap w:val="never"/>
        <w:tblW w:w="9376" w:type="dxa"/>
        <w:tblInd w:w="0" w:type="dxa"/>
        <w:tblLayout w:type="fixed"/>
        <w:tblCellMar>
          <w:top w:w="0" w:type="dxa"/>
          <w:left w:w="0" w:type="dxa"/>
          <w:bottom w:w="0" w:type="dxa"/>
          <w:right w:w="0" w:type="dxa"/>
        </w:tblCellMar>
      </w:tblPr>
      <w:tblGrid>
        <w:gridCol w:w="900"/>
        <w:gridCol w:w="2365"/>
        <w:gridCol w:w="2027"/>
        <w:gridCol w:w="2575"/>
        <w:gridCol w:w="1509"/>
      </w:tblGrid>
      <w:tr>
        <w:tblPrEx>
          <w:tblLayout w:type="fixed"/>
          <w:tblCellMar>
            <w:top w:w="0" w:type="dxa"/>
            <w:left w:w="0" w:type="dxa"/>
            <w:bottom w:w="0" w:type="dxa"/>
            <w:right w:w="0" w:type="dxa"/>
          </w:tblCellMar>
        </w:tblPrEx>
        <w:trPr>
          <w:trHeight w:val="850" w:hRule="exact"/>
        </w:trPr>
        <w:tc>
          <w:tcPr>
            <w:tcW w:w="900" w:type="dxa"/>
            <w:tcBorders>
              <w:top w:val="single" w:color="auto" w:sz="12" w:space="0"/>
              <w:left w:val="single" w:color="auto" w:sz="12" w:space="0"/>
              <w:bottom w:val="single" w:color="auto" w:sz="8" w:space="0"/>
              <w:right w:val="single" w:color="auto" w:sz="8"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序号</w:t>
            </w:r>
          </w:p>
        </w:tc>
        <w:tc>
          <w:tcPr>
            <w:tcW w:w="2365" w:type="dxa"/>
            <w:tcBorders>
              <w:top w:val="single" w:color="auto" w:sz="12" w:space="0"/>
              <w:left w:val="single" w:color="auto" w:sz="8" w:space="0"/>
              <w:bottom w:val="single" w:color="auto" w:sz="8" w:space="0"/>
              <w:right w:val="single" w:color="auto" w:sz="8"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项目名称</w:t>
            </w:r>
          </w:p>
        </w:tc>
        <w:tc>
          <w:tcPr>
            <w:tcW w:w="2027" w:type="dxa"/>
            <w:tcBorders>
              <w:top w:val="single" w:color="auto" w:sz="12" w:space="0"/>
              <w:left w:val="single" w:color="auto" w:sz="8" w:space="0"/>
              <w:bottom w:val="single" w:color="auto" w:sz="8" w:space="0"/>
              <w:right w:val="single" w:color="auto" w:sz="8"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单位</w:t>
            </w:r>
          </w:p>
        </w:tc>
        <w:tc>
          <w:tcPr>
            <w:tcW w:w="2575" w:type="dxa"/>
            <w:tcBorders>
              <w:top w:val="single" w:color="auto" w:sz="12" w:space="0"/>
              <w:left w:val="single" w:color="auto" w:sz="8" w:space="0"/>
              <w:bottom w:val="single" w:color="auto" w:sz="8" w:space="0"/>
              <w:right w:val="single" w:color="auto" w:sz="8"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报价</w:t>
            </w:r>
          </w:p>
        </w:tc>
        <w:tc>
          <w:tcPr>
            <w:tcW w:w="1509" w:type="dxa"/>
            <w:tcBorders>
              <w:top w:val="single" w:color="auto" w:sz="12" w:space="0"/>
              <w:left w:val="single" w:color="auto" w:sz="8" w:space="0"/>
              <w:bottom w:val="single" w:color="auto" w:sz="8" w:space="0"/>
              <w:right w:val="single" w:color="auto" w:sz="12"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备注</w:t>
            </w:r>
          </w:p>
        </w:tc>
      </w:tr>
      <w:tr>
        <w:tblPrEx>
          <w:tblLayout w:type="fixed"/>
          <w:tblCellMar>
            <w:top w:w="0" w:type="dxa"/>
            <w:left w:w="0" w:type="dxa"/>
            <w:bottom w:w="0" w:type="dxa"/>
            <w:right w:w="0" w:type="dxa"/>
          </w:tblCellMar>
        </w:tblPrEx>
        <w:trPr>
          <w:trHeight w:val="850" w:hRule="exact"/>
        </w:trPr>
        <w:tc>
          <w:tcPr>
            <w:tcW w:w="900" w:type="dxa"/>
            <w:tcBorders>
              <w:top w:val="single" w:color="auto" w:sz="8" w:space="0"/>
              <w:left w:val="single" w:color="auto" w:sz="12" w:space="0"/>
              <w:bottom w:val="single" w:color="auto" w:sz="8" w:space="0"/>
              <w:right w:val="single" w:color="auto" w:sz="8"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一</w:t>
            </w:r>
          </w:p>
        </w:tc>
        <w:tc>
          <w:tcPr>
            <w:tcW w:w="2365"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投标总报价</w:t>
            </w:r>
          </w:p>
        </w:tc>
        <w:tc>
          <w:tcPr>
            <w:tcW w:w="2027"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元</w:t>
            </w:r>
          </w:p>
        </w:tc>
        <w:tc>
          <w:tcPr>
            <w:tcW w:w="2575"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p>
        </w:tc>
        <w:tc>
          <w:tcPr>
            <w:tcW w:w="1509" w:type="dxa"/>
            <w:tcBorders>
              <w:top w:val="single" w:color="auto" w:sz="8" w:space="0"/>
              <w:left w:val="single" w:color="auto" w:sz="8" w:space="0"/>
              <w:bottom w:val="single" w:color="auto" w:sz="8" w:space="0"/>
              <w:right w:val="single" w:color="auto" w:sz="12"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p>
        </w:tc>
      </w:tr>
      <w:tr>
        <w:tblPrEx>
          <w:tblLayout w:type="fixed"/>
          <w:tblCellMar>
            <w:top w:w="0" w:type="dxa"/>
            <w:left w:w="0" w:type="dxa"/>
            <w:bottom w:w="0" w:type="dxa"/>
            <w:right w:w="0" w:type="dxa"/>
          </w:tblCellMar>
        </w:tblPrEx>
        <w:trPr>
          <w:trHeight w:val="850" w:hRule="exact"/>
        </w:trPr>
        <w:tc>
          <w:tcPr>
            <w:tcW w:w="900" w:type="dxa"/>
            <w:tcBorders>
              <w:top w:val="single" w:color="auto" w:sz="8" w:space="0"/>
              <w:left w:val="single" w:color="auto" w:sz="12" w:space="0"/>
              <w:bottom w:val="single" w:color="auto" w:sz="8" w:space="0"/>
              <w:right w:val="single" w:color="auto" w:sz="8"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二</w:t>
            </w:r>
          </w:p>
        </w:tc>
        <w:tc>
          <w:tcPr>
            <w:tcW w:w="2365"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工期</w:t>
            </w:r>
          </w:p>
        </w:tc>
        <w:tc>
          <w:tcPr>
            <w:tcW w:w="2027"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日历天</w:t>
            </w:r>
          </w:p>
        </w:tc>
        <w:tc>
          <w:tcPr>
            <w:tcW w:w="2575"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p>
        </w:tc>
        <w:tc>
          <w:tcPr>
            <w:tcW w:w="1509" w:type="dxa"/>
            <w:tcBorders>
              <w:top w:val="single" w:color="auto" w:sz="8" w:space="0"/>
              <w:left w:val="single" w:color="auto" w:sz="8" w:space="0"/>
              <w:bottom w:val="single" w:color="auto" w:sz="8" w:space="0"/>
              <w:right w:val="single" w:color="auto" w:sz="12"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p>
        </w:tc>
      </w:tr>
      <w:tr>
        <w:tblPrEx>
          <w:tblLayout w:type="fixed"/>
          <w:tblCellMar>
            <w:top w:w="0" w:type="dxa"/>
            <w:left w:w="0" w:type="dxa"/>
            <w:bottom w:w="0" w:type="dxa"/>
            <w:right w:w="0" w:type="dxa"/>
          </w:tblCellMar>
        </w:tblPrEx>
        <w:trPr>
          <w:trHeight w:val="850" w:hRule="exact"/>
        </w:trPr>
        <w:tc>
          <w:tcPr>
            <w:tcW w:w="900" w:type="dxa"/>
            <w:tcBorders>
              <w:top w:val="single" w:color="auto" w:sz="8" w:space="0"/>
              <w:left w:val="single" w:color="auto" w:sz="12" w:space="0"/>
              <w:bottom w:val="single" w:color="auto" w:sz="12" w:space="0"/>
              <w:right w:val="single" w:color="auto" w:sz="8"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三</w:t>
            </w:r>
          </w:p>
        </w:tc>
        <w:tc>
          <w:tcPr>
            <w:tcW w:w="2365" w:type="dxa"/>
            <w:tcBorders>
              <w:top w:val="single" w:color="auto" w:sz="8" w:space="0"/>
              <w:left w:val="single" w:color="auto" w:sz="8" w:space="0"/>
              <w:bottom w:val="single" w:color="auto" w:sz="12" w:space="0"/>
              <w:right w:val="single" w:color="auto" w:sz="8"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r>
              <w:rPr>
                <w:rFonts w:hint="eastAsia" w:ascii="仿宋_GB2312" w:hAnsi="仿宋" w:eastAsia="仿宋_GB2312" w:cs="仿宋"/>
                <w:kern w:val="0"/>
                <w:sz w:val="28"/>
                <w:szCs w:val="28"/>
              </w:rPr>
              <w:t>质量</w:t>
            </w:r>
          </w:p>
        </w:tc>
        <w:tc>
          <w:tcPr>
            <w:tcW w:w="2027" w:type="dxa"/>
            <w:tcBorders>
              <w:top w:val="single" w:color="auto" w:sz="8" w:space="0"/>
              <w:left w:val="single" w:color="auto" w:sz="8" w:space="0"/>
              <w:bottom w:val="single" w:color="auto" w:sz="12" w:space="0"/>
              <w:right w:val="single" w:color="auto" w:sz="8"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p>
        </w:tc>
        <w:tc>
          <w:tcPr>
            <w:tcW w:w="2575" w:type="dxa"/>
            <w:tcBorders>
              <w:top w:val="single" w:color="auto" w:sz="8" w:space="0"/>
              <w:left w:val="single" w:color="auto" w:sz="8" w:space="0"/>
              <w:bottom w:val="single" w:color="auto" w:sz="12" w:space="0"/>
              <w:right w:val="single" w:color="auto" w:sz="8"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p>
        </w:tc>
        <w:tc>
          <w:tcPr>
            <w:tcW w:w="1509" w:type="dxa"/>
            <w:tcBorders>
              <w:top w:val="single" w:color="auto" w:sz="8" w:space="0"/>
              <w:left w:val="single" w:color="auto" w:sz="8" w:space="0"/>
              <w:bottom w:val="single" w:color="auto" w:sz="12" w:space="0"/>
              <w:right w:val="single" w:color="auto" w:sz="12" w:space="0"/>
            </w:tcBorders>
            <w:vAlign w:val="center"/>
          </w:tcPr>
          <w:p>
            <w:pPr>
              <w:widowControl/>
              <w:shd w:val="clear" w:color="auto" w:fill="FFFFFF"/>
              <w:spacing w:line="360" w:lineRule="atLeast"/>
              <w:jc w:val="center"/>
              <w:rPr>
                <w:rFonts w:ascii="仿宋_GB2312" w:hAnsi="仿宋" w:eastAsia="仿宋_GB2312" w:cs="仿宋"/>
                <w:kern w:val="0"/>
                <w:sz w:val="28"/>
                <w:szCs w:val="28"/>
              </w:rPr>
            </w:pPr>
          </w:p>
        </w:tc>
      </w:tr>
    </w:tbl>
    <w:p>
      <w:pPr>
        <w:widowControl/>
        <w:shd w:val="clear" w:color="auto" w:fill="FFFFFF"/>
        <w:spacing w:line="360" w:lineRule="atLeast"/>
        <w:jc w:val="left"/>
        <w:rPr>
          <w:rFonts w:ascii="仿宋_GB2312" w:hAnsi="仿宋" w:eastAsia="仿宋_GB2312" w:cs="仿宋"/>
          <w:kern w:val="0"/>
          <w:sz w:val="28"/>
          <w:szCs w:val="28"/>
        </w:rPr>
      </w:pPr>
      <w:r>
        <w:rPr>
          <w:rFonts w:hint="eastAsia" w:ascii="仿宋_GB2312" w:hAnsi="仿宋" w:eastAsia="仿宋_GB2312" w:cs="仿宋"/>
          <w:kern w:val="0"/>
          <w:sz w:val="28"/>
          <w:szCs w:val="28"/>
        </w:rPr>
        <w:t>说明：后附工程量清单报价表。</w:t>
      </w:r>
    </w:p>
    <w:p>
      <w:pPr>
        <w:widowControl/>
        <w:shd w:val="clear" w:color="auto" w:fill="FFFFFF"/>
        <w:spacing w:line="360" w:lineRule="atLeast"/>
        <w:jc w:val="left"/>
        <w:rPr>
          <w:rFonts w:ascii="仿宋_GB2312" w:hAnsi="仿宋" w:eastAsia="仿宋_GB2312" w:cs="仿宋"/>
          <w:kern w:val="0"/>
          <w:sz w:val="28"/>
          <w:szCs w:val="28"/>
        </w:rPr>
      </w:pPr>
    </w:p>
    <w:p>
      <w:pPr>
        <w:widowControl/>
        <w:shd w:val="clear" w:color="auto" w:fill="FFFFFF"/>
        <w:spacing w:line="360" w:lineRule="atLeast"/>
        <w:jc w:val="left"/>
        <w:rPr>
          <w:rFonts w:ascii="仿宋_GB2312" w:hAnsi="仿宋" w:eastAsia="仿宋_GB2312" w:cs="仿宋"/>
          <w:kern w:val="0"/>
          <w:sz w:val="28"/>
          <w:szCs w:val="28"/>
        </w:rPr>
      </w:pPr>
    </w:p>
    <w:p>
      <w:pPr>
        <w:widowControl/>
        <w:shd w:val="clear" w:color="auto" w:fill="FFFFFF"/>
        <w:spacing w:line="360" w:lineRule="atLeast"/>
        <w:jc w:val="left"/>
        <w:rPr>
          <w:rFonts w:ascii="仿宋_GB2312" w:hAnsi="仿宋" w:eastAsia="仿宋_GB2312" w:cs="仿宋"/>
          <w:kern w:val="0"/>
          <w:sz w:val="28"/>
          <w:szCs w:val="28"/>
        </w:rPr>
      </w:pPr>
    </w:p>
    <w:p>
      <w:pPr>
        <w:widowControl/>
        <w:shd w:val="clear" w:color="auto" w:fill="FFFFFF"/>
        <w:spacing w:line="360" w:lineRule="atLeast"/>
        <w:jc w:val="left"/>
        <w:rPr>
          <w:rFonts w:ascii="仿宋_GB2312" w:hAnsi="仿宋" w:eastAsia="仿宋_GB2312" w:cs="仿宋"/>
          <w:kern w:val="0"/>
          <w:sz w:val="28"/>
          <w:szCs w:val="28"/>
        </w:rPr>
      </w:pPr>
      <w:r>
        <w:rPr>
          <w:rFonts w:hint="eastAsia" w:ascii="仿宋_GB2312" w:hAnsi="仿宋" w:eastAsia="仿宋_GB2312" w:cs="仿宋"/>
          <w:kern w:val="0"/>
          <w:sz w:val="28"/>
          <w:szCs w:val="28"/>
        </w:rPr>
        <w:t>投标人：                                 (盖章)</w:t>
      </w:r>
    </w:p>
    <w:p>
      <w:pPr>
        <w:widowControl/>
        <w:shd w:val="clear" w:color="auto" w:fill="FFFFFF"/>
        <w:spacing w:line="360" w:lineRule="atLeast"/>
        <w:jc w:val="left"/>
        <w:rPr>
          <w:rFonts w:ascii="仿宋_GB2312" w:hAnsi="仿宋" w:eastAsia="仿宋_GB2312" w:cs="仿宋"/>
          <w:kern w:val="0"/>
          <w:sz w:val="28"/>
          <w:szCs w:val="28"/>
        </w:rPr>
      </w:pPr>
      <w:r>
        <w:rPr>
          <w:rFonts w:hint="eastAsia" w:ascii="仿宋_GB2312" w:hAnsi="仿宋" w:eastAsia="仿宋_GB2312" w:cs="仿宋"/>
          <w:kern w:val="0"/>
          <w:sz w:val="28"/>
          <w:szCs w:val="28"/>
        </w:rPr>
        <w:t>法定代表人或委托代理人：           (签字或盖章)</w:t>
      </w:r>
    </w:p>
    <w:p>
      <w:pPr>
        <w:widowControl/>
        <w:shd w:val="clear" w:color="auto" w:fill="FFFFFF"/>
        <w:spacing w:line="360" w:lineRule="atLeast"/>
        <w:jc w:val="left"/>
        <w:rPr>
          <w:rFonts w:ascii="仿宋_GB2312" w:hAnsi="仿宋" w:eastAsia="仿宋_GB2312" w:cs="仿宋"/>
          <w:kern w:val="0"/>
          <w:sz w:val="28"/>
          <w:szCs w:val="28"/>
        </w:rPr>
      </w:pPr>
      <w:r>
        <w:rPr>
          <w:rFonts w:hint="eastAsia" w:ascii="仿宋_GB2312" w:hAnsi="仿宋" w:eastAsia="仿宋_GB2312" w:cs="仿宋"/>
          <w:kern w:val="0"/>
          <w:sz w:val="28"/>
          <w:szCs w:val="28"/>
        </w:rPr>
        <w:t>造价员：                       (盖执业章并签字)</w:t>
      </w:r>
    </w:p>
    <w:p>
      <w:pPr>
        <w:widowControl/>
        <w:shd w:val="clear" w:color="auto" w:fill="FFFFFF"/>
        <w:spacing w:line="360" w:lineRule="atLeast"/>
        <w:jc w:val="left"/>
        <w:rPr>
          <w:rFonts w:ascii="仿宋_GB2312" w:hAnsi="仿宋" w:eastAsia="仿宋_GB2312" w:cs="仿宋"/>
          <w:kern w:val="0"/>
          <w:sz w:val="28"/>
          <w:szCs w:val="28"/>
        </w:rPr>
      </w:pPr>
      <w:r>
        <w:rPr>
          <w:rFonts w:hint="eastAsia" w:ascii="仿宋_GB2312" w:hAnsi="仿宋" w:eastAsia="仿宋_GB2312" w:cs="仿宋"/>
          <w:kern w:val="0"/>
          <w:sz w:val="28"/>
          <w:szCs w:val="28"/>
        </w:rPr>
        <w:t>日  期：        年     月    日</w:t>
      </w:r>
    </w:p>
    <w:p>
      <w:pPr>
        <w:widowControl/>
        <w:shd w:val="clear" w:color="auto" w:fill="FFFFFF"/>
        <w:spacing w:line="360" w:lineRule="atLeast"/>
        <w:jc w:val="left"/>
        <w:rPr>
          <w:rFonts w:ascii="仿宋_GB2312" w:hAnsi="仿宋" w:eastAsia="仿宋_GB2312" w:cs="仿宋"/>
          <w:kern w:val="0"/>
          <w:sz w:val="28"/>
          <w:szCs w:val="28"/>
        </w:rPr>
      </w:pPr>
    </w:p>
    <w:p>
      <w:pPr>
        <w:widowControl/>
        <w:shd w:val="clear" w:color="auto" w:fill="FFFFFF"/>
        <w:spacing w:line="360" w:lineRule="atLeast"/>
        <w:jc w:val="left"/>
        <w:rPr>
          <w:rFonts w:ascii="仿宋_GB2312" w:hAnsi="仿宋" w:eastAsia="仿宋_GB2312" w:cs="仿宋"/>
          <w:kern w:val="0"/>
          <w:sz w:val="28"/>
          <w:szCs w:val="28"/>
        </w:rPr>
      </w:pPr>
    </w:p>
    <w:p>
      <w:pPr>
        <w:rPr>
          <w:rFonts w:ascii="宋体" w:hAnsi="宋体" w:cs="宋体"/>
        </w:rPr>
      </w:pPr>
    </w:p>
    <w:p>
      <w:pPr>
        <w:spacing w:line="420" w:lineRule="exact"/>
        <w:rPr>
          <w:rFonts w:ascii="仿宋_GB2312" w:hAnsi="仿宋" w:eastAsia="仿宋_GB2312" w:cs="仿宋"/>
          <w:b/>
          <w:sz w:val="28"/>
          <w:szCs w:val="28"/>
        </w:rPr>
      </w:pPr>
    </w:p>
    <w:p>
      <w:pPr>
        <w:spacing w:line="420" w:lineRule="exact"/>
        <w:rPr>
          <w:rFonts w:ascii="仿宋_GB2312" w:hAnsi="仿宋" w:eastAsia="仿宋_GB2312" w:cs="仿宋"/>
          <w:b/>
          <w:sz w:val="28"/>
          <w:szCs w:val="28"/>
        </w:rPr>
      </w:pPr>
    </w:p>
    <w:p>
      <w:pPr>
        <w:spacing w:line="420" w:lineRule="exact"/>
        <w:rPr>
          <w:rFonts w:ascii="仿宋_GB2312" w:hAnsi="仿宋" w:eastAsia="仿宋_GB2312" w:cs="仿宋"/>
          <w:b/>
          <w:sz w:val="28"/>
          <w:szCs w:val="28"/>
        </w:rPr>
      </w:pPr>
    </w:p>
    <w:p>
      <w:pPr>
        <w:spacing w:line="420" w:lineRule="exact"/>
        <w:rPr>
          <w:rFonts w:ascii="仿宋_GB2312" w:hAnsi="仿宋" w:eastAsia="仿宋_GB2312" w:cs="仿宋"/>
          <w:b/>
          <w:sz w:val="28"/>
          <w:szCs w:val="28"/>
        </w:rPr>
      </w:pPr>
    </w:p>
    <w:p>
      <w:pPr>
        <w:spacing w:line="420" w:lineRule="exact"/>
        <w:rPr>
          <w:rFonts w:ascii="仿宋_GB2312" w:hAnsi="仿宋" w:eastAsia="仿宋_GB2312" w:cs="仿宋"/>
          <w:b/>
          <w:sz w:val="28"/>
          <w:szCs w:val="28"/>
        </w:rPr>
      </w:pPr>
    </w:p>
    <w:p>
      <w:pPr>
        <w:spacing w:line="420" w:lineRule="exact"/>
        <w:rPr>
          <w:rFonts w:ascii="仿宋_GB2312" w:hAnsi="仿宋" w:eastAsia="仿宋_GB2312" w:cs="仿宋"/>
          <w:b/>
          <w:sz w:val="28"/>
          <w:szCs w:val="28"/>
        </w:rPr>
        <w:sectPr>
          <w:pgSz w:w="11906" w:h="16838"/>
          <w:pgMar w:top="1134" w:right="1416" w:bottom="709" w:left="1644" w:header="851" w:footer="992" w:gutter="0"/>
          <w:cols w:space="425" w:num="1"/>
          <w:docGrid w:type="lines" w:linePitch="312" w:charSpace="0"/>
        </w:sectPr>
      </w:pPr>
    </w:p>
    <w:p>
      <w:pPr>
        <w:rPr>
          <w:b/>
          <w:sz w:val="24"/>
          <w:szCs w:val="28"/>
        </w:rPr>
      </w:pPr>
      <w:r>
        <w:rPr>
          <w:rFonts w:hint="eastAsia"/>
          <w:b/>
          <w:sz w:val="28"/>
          <w:szCs w:val="28"/>
        </w:rPr>
        <w:t xml:space="preserve">                                </w:t>
      </w:r>
      <w:r>
        <w:rPr>
          <w:rFonts w:hint="eastAsia"/>
          <w:b/>
          <w:sz w:val="32"/>
          <w:szCs w:val="28"/>
        </w:rPr>
        <w:t xml:space="preserve">    工程量清单</w:t>
      </w:r>
      <w:r>
        <w:rPr>
          <w:rFonts w:hint="eastAsia"/>
          <w:b/>
          <w:sz w:val="28"/>
          <w:szCs w:val="28"/>
        </w:rPr>
        <w:t>（格式仅供参考）</w:t>
      </w:r>
    </w:p>
    <w:tbl>
      <w:tblPr>
        <w:tblStyle w:val="7"/>
        <w:tblW w:w="13198" w:type="dxa"/>
        <w:tblInd w:w="93" w:type="dxa"/>
        <w:tblLayout w:type="fixed"/>
        <w:tblCellMar>
          <w:top w:w="0" w:type="dxa"/>
          <w:left w:w="108" w:type="dxa"/>
          <w:bottom w:w="0" w:type="dxa"/>
          <w:right w:w="108" w:type="dxa"/>
        </w:tblCellMar>
      </w:tblPr>
      <w:tblGrid>
        <w:gridCol w:w="724"/>
        <w:gridCol w:w="2616"/>
        <w:gridCol w:w="1296"/>
        <w:gridCol w:w="2035"/>
        <w:gridCol w:w="1656"/>
        <w:gridCol w:w="1559"/>
        <w:gridCol w:w="3312"/>
      </w:tblGrid>
      <w:tr>
        <w:tblPrEx>
          <w:tblLayout w:type="fixed"/>
          <w:tblCellMar>
            <w:top w:w="0" w:type="dxa"/>
            <w:left w:w="108" w:type="dxa"/>
            <w:bottom w:w="0" w:type="dxa"/>
            <w:right w:w="108" w:type="dxa"/>
          </w:tblCellMar>
        </w:tblPrEx>
        <w:trPr>
          <w:trHeight w:val="330" w:hRule="atLeast"/>
        </w:trPr>
        <w:tc>
          <w:tcPr>
            <w:tcW w:w="724"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2616"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 xml:space="preserve">项 目 </w:t>
            </w:r>
          </w:p>
        </w:tc>
        <w:tc>
          <w:tcPr>
            <w:tcW w:w="1296"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cs="宋体" w:eastAsiaTheme="minorEastAsia"/>
                <w:b/>
                <w:bCs/>
                <w:kern w:val="0"/>
                <w:sz w:val="24"/>
                <w:lang w:val="en-US" w:eastAsia="zh-CN"/>
              </w:rPr>
            </w:pPr>
            <w:r>
              <w:rPr>
                <w:rFonts w:hint="eastAsia" w:ascii="宋体" w:hAnsi="宋体" w:cs="宋体"/>
                <w:b/>
                <w:bCs/>
                <w:kern w:val="0"/>
                <w:sz w:val="24"/>
                <w:lang w:val="en-US" w:eastAsia="zh-CN"/>
              </w:rPr>
              <w:t>单位</w:t>
            </w:r>
          </w:p>
        </w:tc>
        <w:tc>
          <w:tcPr>
            <w:tcW w:w="2035"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lang w:val="en-US" w:eastAsia="zh-CN"/>
              </w:rPr>
              <w:t>工程量</w:t>
            </w:r>
          </w:p>
        </w:tc>
        <w:tc>
          <w:tcPr>
            <w:tcW w:w="1656"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单价（元）</w:t>
            </w:r>
          </w:p>
        </w:tc>
        <w:tc>
          <w:tcPr>
            <w:tcW w:w="1559"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金额 （元）</w:t>
            </w:r>
          </w:p>
        </w:tc>
        <w:tc>
          <w:tcPr>
            <w:tcW w:w="3312" w:type="dxa"/>
            <w:tcBorders>
              <w:top w:val="single" w:color="auto" w:sz="4" w:space="0"/>
              <w:left w:val="nil"/>
              <w:bottom w:val="nil"/>
              <w:right w:val="single" w:color="auto" w:sz="4" w:space="0"/>
            </w:tcBorders>
          </w:tcPr>
          <w:p>
            <w:pPr>
              <w:widowControl/>
              <w:jc w:val="center"/>
              <w:rPr>
                <w:rFonts w:hint="default" w:ascii="宋体" w:hAnsi="宋体" w:cs="宋体" w:eastAsiaTheme="minorEastAsia"/>
                <w:b/>
                <w:bCs/>
                <w:kern w:val="0"/>
                <w:sz w:val="24"/>
                <w:lang w:val="en-US" w:eastAsia="zh-CN"/>
              </w:rPr>
            </w:pPr>
            <w:r>
              <w:rPr>
                <w:rFonts w:hint="eastAsia" w:ascii="宋体" w:hAnsi="宋体" w:cs="宋体"/>
                <w:b/>
                <w:bCs/>
                <w:kern w:val="0"/>
                <w:sz w:val="24"/>
                <w:lang w:val="en-US" w:eastAsia="zh-CN"/>
              </w:rPr>
              <w:t>材料或工艺说明</w:t>
            </w:r>
          </w:p>
        </w:tc>
      </w:tr>
      <w:tr>
        <w:tblPrEx>
          <w:tblLayout w:type="fixed"/>
          <w:tblCellMar>
            <w:top w:w="0" w:type="dxa"/>
            <w:left w:w="108" w:type="dxa"/>
            <w:bottom w:w="0" w:type="dxa"/>
            <w:right w:w="108" w:type="dxa"/>
          </w:tblCellMar>
        </w:tblPrEx>
        <w:trPr>
          <w:trHeight w:val="33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61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bCs/>
                <w:kern w:val="0"/>
                <w:sz w:val="24"/>
              </w:rPr>
            </w:pPr>
            <w:r>
              <w:rPr>
                <w:rFonts w:hint="eastAsia" w:ascii="宋体" w:hAnsi="宋体" w:eastAsia="宋体" w:cs="宋体"/>
                <w:i w:val="0"/>
                <w:color w:val="000000"/>
                <w:kern w:val="0"/>
                <w:sz w:val="20"/>
                <w:szCs w:val="20"/>
                <w:u w:val="none"/>
                <w:lang w:val="en-US" w:eastAsia="zh-CN" w:bidi="ar"/>
              </w:rPr>
              <w:t>墙裙</w:t>
            </w:r>
          </w:p>
        </w:tc>
        <w:tc>
          <w:tcPr>
            <w:tcW w:w="12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w:t>
            </w:r>
          </w:p>
        </w:tc>
        <w:tc>
          <w:tcPr>
            <w:tcW w:w="203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62.7</w:t>
            </w:r>
          </w:p>
        </w:tc>
        <w:tc>
          <w:tcPr>
            <w:tcW w:w="16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33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木龙骨找平，木饰面板饰面 ，压边条收口，高度1米</w:t>
            </w:r>
          </w:p>
        </w:tc>
      </w:tr>
      <w:tr>
        <w:tblPrEx>
          <w:tblLayout w:type="fixed"/>
          <w:tblCellMar>
            <w:top w:w="0" w:type="dxa"/>
            <w:left w:w="108" w:type="dxa"/>
            <w:bottom w:w="0" w:type="dxa"/>
            <w:right w:w="108" w:type="dxa"/>
          </w:tblCellMar>
        </w:tblPrEx>
        <w:trPr>
          <w:trHeight w:val="33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2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kern w:val="0"/>
                <w:sz w:val="24"/>
              </w:rPr>
            </w:pPr>
            <w:r>
              <w:rPr>
                <w:rFonts w:hint="eastAsia" w:ascii="宋体" w:hAnsi="宋体" w:eastAsia="宋体" w:cs="宋体"/>
                <w:i w:val="0"/>
                <w:color w:val="000000"/>
                <w:kern w:val="0"/>
                <w:sz w:val="20"/>
                <w:szCs w:val="20"/>
                <w:u w:val="none"/>
                <w:lang w:val="en-US" w:eastAsia="zh-CN" w:bidi="ar"/>
              </w:rPr>
              <w:t>室内降噪音处理</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w:t>
            </w:r>
          </w:p>
        </w:tc>
        <w:tc>
          <w:tcPr>
            <w:tcW w:w="20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327.74</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p>
        </w:tc>
        <w:tc>
          <w:tcPr>
            <w:tcW w:w="33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泰山石膏板，隔音板等辅材</w:t>
            </w:r>
          </w:p>
        </w:tc>
      </w:tr>
      <w:tr>
        <w:tblPrEx>
          <w:tblLayout w:type="fixed"/>
          <w:tblCellMar>
            <w:top w:w="0" w:type="dxa"/>
            <w:left w:w="108" w:type="dxa"/>
            <w:bottom w:w="0" w:type="dxa"/>
            <w:right w:w="108" w:type="dxa"/>
          </w:tblCellMar>
        </w:tblPrEx>
        <w:trPr>
          <w:trHeight w:val="33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2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kern w:val="0"/>
                <w:sz w:val="24"/>
              </w:rPr>
            </w:pPr>
            <w:r>
              <w:rPr>
                <w:rFonts w:hint="eastAsia" w:ascii="宋体" w:hAnsi="宋体" w:eastAsia="宋体" w:cs="宋体"/>
                <w:i w:val="0"/>
                <w:color w:val="000000"/>
                <w:kern w:val="0"/>
                <w:sz w:val="20"/>
                <w:szCs w:val="20"/>
                <w:u w:val="none"/>
                <w:lang w:val="en-US" w:eastAsia="zh-CN" w:bidi="ar"/>
              </w:rPr>
              <w:t>墙面镜子</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w:t>
            </w:r>
          </w:p>
        </w:tc>
        <w:tc>
          <w:tcPr>
            <w:tcW w:w="20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16</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p>
        </w:tc>
        <w:tc>
          <w:tcPr>
            <w:tcW w:w="331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墙面练功镜子，实木包边及辅料</w:t>
            </w:r>
          </w:p>
        </w:tc>
      </w:tr>
      <w:tr>
        <w:tblPrEx>
          <w:tblLayout w:type="fixed"/>
          <w:tblCellMar>
            <w:top w:w="0" w:type="dxa"/>
            <w:left w:w="108" w:type="dxa"/>
            <w:bottom w:w="0" w:type="dxa"/>
            <w:right w:w="108" w:type="dxa"/>
          </w:tblCellMar>
        </w:tblPrEx>
        <w:trPr>
          <w:trHeight w:val="33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2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kern w:val="0"/>
                <w:sz w:val="24"/>
              </w:rPr>
            </w:pPr>
            <w:r>
              <w:rPr>
                <w:rFonts w:hint="eastAsia" w:ascii="宋体" w:hAnsi="宋体" w:eastAsia="宋体" w:cs="宋体"/>
                <w:i w:val="0"/>
                <w:color w:val="000000"/>
                <w:kern w:val="0"/>
                <w:sz w:val="20"/>
                <w:szCs w:val="20"/>
                <w:u w:val="none"/>
                <w:lang w:val="en-US" w:eastAsia="zh-CN" w:bidi="ar"/>
              </w:rPr>
              <w:t>压腿杆</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m</w:t>
            </w:r>
          </w:p>
        </w:tc>
        <w:tc>
          <w:tcPr>
            <w:tcW w:w="20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16</w:t>
            </w:r>
          </w:p>
        </w:tc>
        <w:tc>
          <w:tcPr>
            <w:tcW w:w="1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p>
        </w:tc>
        <w:tc>
          <w:tcPr>
            <w:tcW w:w="331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水曲柳，无缝电镀钢管及辅料</w:t>
            </w:r>
          </w:p>
        </w:tc>
      </w:tr>
      <w:tr>
        <w:tblPrEx>
          <w:tblLayout w:type="fixed"/>
          <w:tblCellMar>
            <w:top w:w="0" w:type="dxa"/>
            <w:left w:w="108" w:type="dxa"/>
            <w:bottom w:w="0" w:type="dxa"/>
            <w:right w:w="108" w:type="dxa"/>
          </w:tblCellMar>
        </w:tblPrEx>
        <w:trPr>
          <w:trHeight w:val="33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2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kern w:val="0"/>
                <w:sz w:val="24"/>
              </w:rPr>
            </w:pPr>
            <w:r>
              <w:rPr>
                <w:rFonts w:hint="eastAsia" w:ascii="宋体" w:hAnsi="宋体" w:eastAsia="宋体" w:cs="宋体"/>
                <w:i w:val="0"/>
                <w:color w:val="000000"/>
                <w:kern w:val="0"/>
                <w:sz w:val="20"/>
                <w:szCs w:val="20"/>
                <w:u w:val="none"/>
                <w:lang w:val="en-US" w:eastAsia="zh-CN" w:bidi="ar"/>
              </w:rPr>
              <w:t>包暖气管道</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w:t>
            </w:r>
          </w:p>
        </w:tc>
        <w:tc>
          <w:tcPr>
            <w:tcW w:w="20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23.64</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rPr>
            </w:pPr>
          </w:p>
        </w:tc>
        <w:tc>
          <w:tcPr>
            <w:tcW w:w="331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kern w:val="0"/>
                <w:sz w:val="24"/>
              </w:rPr>
            </w:pPr>
            <w:r>
              <w:rPr>
                <w:rFonts w:hint="eastAsia" w:ascii="宋体" w:hAnsi="宋体" w:eastAsia="宋体" w:cs="宋体"/>
                <w:i w:val="0"/>
                <w:color w:val="000000"/>
                <w:kern w:val="0"/>
                <w:sz w:val="20"/>
                <w:szCs w:val="20"/>
                <w:u w:val="none"/>
                <w:lang w:val="en-US" w:eastAsia="zh-CN" w:bidi="ar"/>
              </w:rPr>
              <w:t>石膏板，木工板暖气罩子含石材及辅料</w:t>
            </w:r>
          </w:p>
        </w:tc>
      </w:tr>
      <w:tr>
        <w:tblPrEx>
          <w:tblLayout w:type="fixed"/>
          <w:tblCellMar>
            <w:top w:w="0" w:type="dxa"/>
            <w:left w:w="108" w:type="dxa"/>
            <w:bottom w:w="0" w:type="dxa"/>
            <w:right w:w="108" w:type="dxa"/>
          </w:tblCellMar>
        </w:tblPrEx>
        <w:trPr>
          <w:trHeight w:val="33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2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kern w:val="0"/>
                <w:sz w:val="24"/>
              </w:rPr>
            </w:pPr>
            <w:r>
              <w:rPr>
                <w:rFonts w:hint="eastAsia" w:ascii="宋体" w:hAnsi="宋体" w:eastAsia="宋体" w:cs="宋体"/>
                <w:i w:val="0"/>
                <w:color w:val="000000"/>
                <w:kern w:val="0"/>
                <w:sz w:val="20"/>
                <w:szCs w:val="20"/>
                <w:u w:val="none"/>
                <w:lang w:val="en-US" w:eastAsia="zh-CN" w:bidi="ar"/>
              </w:rPr>
              <w:t>地面木地板</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w:t>
            </w:r>
          </w:p>
        </w:tc>
        <w:tc>
          <w:tcPr>
            <w:tcW w:w="20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122.72</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p>
        </w:tc>
        <w:tc>
          <w:tcPr>
            <w:tcW w:w="331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实木复合木地板，实木起脚线等辅材</w:t>
            </w:r>
          </w:p>
        </w:tc>
      </w:tr>
      <w:tr>
        <w:tblPrEx>
          <w:tblLayout w:type="fixed"/>
          <w:tblCellMar>
            <w:top w:w="0" w:type="dxa"/>
            <w:left w:w="108" w:type="dxa"/>
            <w:bottom w:w="0" w:type="dxa"/>
            <w:right w:w="108" w:type="dxa"/>
          </w:tblCellMar>
        </w:tblPrEx>
        <w:trPr>
          <w:trHeight w:val="33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261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rPr>
            </w:pP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2035"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cs="宋体"/>
                <w:kern w:val="0"/>
                <w:sz w:val="24"/>
              </w:rPr>
            </w:pP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p>
        </w:tc>
        <w:tc>
          <w:tcPr>
            <w:tcW w:w="3312" w:type="dxa"/>
            <w:tcBorders>
              <w:top w:val="nil"/>
              <w:left w:val="nil"/>
              <w:bottom w:val="single" w:color="auto" w:sz="4" w:space="0"/>
              <w:right w:val="single" w:color="auto" w:sz="4" w:space="0"/>
            </w:tcBorders>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3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261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rPr>
            </w:pP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2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rPr>
            </w:pPr>
          </w:p>
        </w:tc>
        <w:tc>
          <w:tcPr>
            <w:tcW w:w="3312" w:type="dxa"/>
            <w:tcBorders>
              <w:top w:val="nil"/>
              <w:left w:val="nil"/>
              <w:bottom w:val="single" w:color="000000" w:sz="4" w:space="0"/>
              <w:right w:val="single" w:color="000000" w:sz="4" w:space="0"/>
            </w:tcBorders>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33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261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rPr>
            </w:pP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2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p>
        </w:tc>
        <w:tc>
          <w:tcPr>
            <w:tcW w:w="3312" w:type="dxa"/>
            <w:tcBorders>
              <w:top w:val="nil"/>
              <w:left w:val="nil"/>
              <w:bottom w:val="single" w:color="auto" w:sz="4" w:space="0"/>
              <w:right w:val="single" w:color="auto" w:sz="4" w:space="0"/>
            </w:tcBorders>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3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261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rPr>
            </w:pP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2035"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cs="宋体"/>
                <w:kern w:val="0"/>
                <w:sz w:val="24"/>
              </w:rPr>
            </w:pP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p>
        </w:tc>
        <w:tc>
          <w:tcPr>
            <w:tcW w:w="3312" w:type="dxa"/>
            <w:tcBorders>
              <w:top w:val="nil"/>
              <w:left w:val="nil"/>
              <w:bottom w:val="single" w:color="auto" w:sz="4" w:space="0"/>
              <w:right w:val="single" w:color="auto" w:sz="4" w:space="0"/>
            </w:tcBorders>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3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261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rPr>
            </w:pP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2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p>
        </w:tc>
        <w:tc>
          <w:tcPr>
            <w:tcW w:w="3312" w:type="dxa"/>
            <w:tcBorders>
              <w:top w:val="nil"/>
              <w:left w:val="nil"/>
              <w:bottom w:val="single" w:color="auto" w:sz="4" w:space="0"/>
              <w:right w:val="single" w:color="auto" w:sz="4" w:space="0"/>
            </w:tcBorders>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30" w:hRule="atLeast"/>
        </w:trPr>
        <w:tc>
          <w:tcPr>
            <w:tcW w:w="724" w:type="dxa"/>
            <w:tcBorders>
              <w:top w:val="single" w:color="auto" w:sz="4" w:space="0"/>
              <w:left w:val="single" w:color="auto" w:sz="4"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4"/>
              </w:rPr>
            </w:pPr>
          </w:p>
        </w:tc>
        <w:tc>
          <w:tcPr>
            <w:tcW w:w="2616"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center"/>
              <w:rPr>
                <w:rFonts w:cs="宋体" w:asciiTheme="minorEastAsia" w:hAnsiTheme="minorEastAsia"/>
                <w:kern w:val="0"/>
                <w:sz w:val="24"/>
              </w:rPr>
            </w:pPr>
          </w:p>
        </w:tc>
        <w:tc>
          <w:tcPr>
            <w:tcW w:w="1296"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4"/>
              </w:rPr>
            </w:pPr>
          </w:p>
        </w:tc>
        <w:tc>
          <w:tcPr>
            <w:tcW w:w="2035"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4"/>
              </w:rPr>
            </w:pPr>
          </w:p>
        </w:tc>
        <w:tc>
          <w:tcPr>
            <w:tcW w:w="1656"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559"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3312" w:type="dxa"/>
            <w:tcBorders>
              <w:top w:val="single" w:color="auto" w:sz="4" w:space="0"/>
              <w:left w:val="single" w:color="auto" w:sz="6" w:space="0"/>
              <w:bottom w:val="single" w:color="auto" w:sz="6" w:space="0"/>
              <w:right w:val="single" w:color="auto" w:sz="4" w:space="0"/>
            </w:tcBorders>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3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4"/>
              </w:rPr>
            </w:pPr>
          </w:p>
        </w:tc>
        <w:tc>
          <w:tcPr>
            <w:tcW w:w="261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cs="宋体" w:asciiTheme="minorEastAsia" w:hAnsiTheme="minorEastAsia"/>
                <w:kern w:val="0"/>
                <w:sz w:val="24"/>
              </w:rPr>
            </w:pPr>
          </w:p>
        </w:tc>
        <w:tc>
          <w:tcPr>
            <w:tcW w:w="1296"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center"/>
              <w:rPr>
                <w:rFonts w:ascii="宋体" w:hAnsi="宋体" w:cs="宋体"/>
                <w:kern w:val="0"/>
                <w:sz w:val="24"/>
              </w:rPr>
            </w:pPr>
          </w:p>
        </w:tc>
        <w:tc>
          <w:tcPr>
            <w:tcW w:w="2035" w:type="dxa"/>
            <w:tcBorders>
              <w:top w:val="single" w:color="auto" w:sz="6" w:space="0"/>
              <w:left w:val="single" w:color="auto" w:sz="4"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4"/>
              </w:rPr>
            </w:pPr>
          </w:p>
        </w:tc>
        <w:tc>
          <w:tcPr>
            <w:tcW w:w="165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559"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kern w:val="0"/>
                <w:sz w:val="24"/>
              </w:rPr>
            </w:pPr>
          </w:p>
        </w:tc>
        <w:tc>
          <w:tcPr>
            <w:tcW w:w="3312" w:type="dxa"/>
            <w:tcBorders>
              <w:top w:val="single" w:color="auto" w:sz="6" w:space="0"/>
              <w:left w:val="single" w:color="auto" w:sz="6" w:space="0"/>
              <w:bottom w:val="single" w:color="auto" w:sz="6" w:space="0"/>
              <w:right w:val="single" w:color="auto" w:sz="4" w:space="0"/>
            </w:tcBorders>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3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4"/>
              </w:rPr>
            </w:pPr>
          </w:p>
        </w:tc>
        <w:tc>
          <w:tcPr>
            <w:tcW w:w="2616"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center"/>
              <w:rPr>
                <w:rFonts w:cs="宋体" w:asciiTheme="minorEastAsia" w:hAnsiTheme="minorEastAsia"/>
                <w:kern w:val="0"/>
                <w:sz w:val="24"/>
              </w:rPr>
            </w:pPr>
          </w:p>
        </w:tc>
        <w:tc>
          <w:tcPr>
            <w:tcW w:w="1296" w:type="dxa"/>
            <w:tcBorders>
              <w:top w:val="single" w:color="auto" w:sz="6" w:space="0"/>
              <w:left w:val="single" w:color="auto" w:sz="6" w:space="0"/>
              <w:bottom w:val="single" w:color="auto" w:sz="6" w:space="0"/>
              <w:right w:val="single" w:color="auto" w:sz="4" w:space="0"/>
            </w:tcBorders>
            <w:shd w:val="clear" w:color="000000" w:fill="FFFFFF"/>
            <w:noWrap/>
            <w:vAlign w:val="center"/>
          </w:tcPr>
          <w:p>
            <w:pPr>
              <w:widowControl/>
              <w:jc w:val="center"/>
              <w:rPr>
                <w:rFonts w:ascii="宋体" w:hAnsi="宋体" w:cs="宋体"/>
                <w:kern w:val="0"/>
                <w:sz w:val="24"/>
              </w:rPr>
            </w:pPr>
          </w:p>
        </w:tc>
        <w:tc>
          <w:tcPr>
            <w:tcW w:w="2035" w:type="dxa"/>
            <w:tcBorders>
              <w:top w:val="single" w:color="auto" w:sz="6" w:space="0"/>
              <w:left w:val="single" w:color="auto" w:sz="4" w:space="0"/>
              <w:bottom w:val="single" w:color="auto" w:sz="6" w:space="0"/>
              <w:right w:val="single" w:color="auto" w:sz="6" w:space="0"/>
            </w:tcBorders>
            <w:shd w:val="clear" w:color="000000" w:fill="FFFFFF"/>
            <w:vAlign w:val="center"/>
          </w:tcPr>
          <w:p>
            <w:pPr>
              <w:widowControl/>
              <w:jc w:val="center"/>
              <w:rPr>
                <w:rFonts w:ascii="宋体" w:hAnsi="宋体" w:cs="宋体"/>
                <w:kern w:val="0"/>
                <w:sz w:val="24"/>
              </w:rPr>
            </w:pPr>
          </w:p>
        </w:tc>
        <w:tc>
          <w:tcPr>
            <w:tcW w:w="1656"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right"/>
              <w:rPr>
                <w:rFonts w:ascii="宋体" w:hAnsi="宋体" w:cs="宋体"/>
                <w:b/>
                <w:bCs/>
                <w:kern w:val="0"/>
                <w:sz w:val="24"/>
              </w:rPr>
            </w:pPr>
          </w:p>
        </w:tc>
        <w:tc>
          <w:tcPr>
            <w:tcW w:w="1559" w:type="dxa"/>
            <w:tcBorders>
              <w:top w:val="single" w:color="auto" w:sz="6" w:space="0"/>
              <w:left w:val="single" w:color="auto" w:sz="6" w:space="0"/>
              <w:bottom w:val="single" w:color="auto" w:sz="6" w:space="0"/>
              <w:right w:val="single" w:color="auto" w:sz="4" w:space="0"/>
            </w:tcBorders>
            <w:shd w:val="clear" w:color="000000" w:fill="FFFFFF"/>
            <w:noWrap/>
            <w:vAlign w:val="center"/>
          </w:tcPr>
          <w:p>
            <w:pPr>
              <w:widowControl/>
              <w:jc w:val="left"/>
              <w:rPr>
                <w:rFonts w:ascii="宋体" w:hAnsi="宋体" w:cs="宋体"/>
                <w:kern w:val="0"/>
                <w:sz w:val="24"/>
              </w:rPr>
            </w:pPr>
          </w:p>
        </w:tc>
        <w:tc>
          <w:tcPr>
            <w:tcW w:w="3312" w:type="dxa"/>
            <w:tcBorders>
              <w:top w:val="single" w:color="auto" w:sz="6" w:space="0"/>
              <w:left w:val="single" w:color="auto" w:sz="6" w:space="0"/>
              <w:bottom w:val="single" w:color="auto" w:sz="6" w:space="0"/>
              <w:right w:val="single" w:color="auto" w:sz="4" w:space="0"/>
            </w:tcBorders>
            <w:shd w:val="clear" w:color="000000" w:fill="FFFFFF"/>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3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4"/>
              </w:rPr>
            </w:pPr>
          </w:p>
        </w:tc>
        <w:tc>
          <w:tcPr>
            <w:tcW w:w="2616"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center"/>
              <w:rPr>
                <w:rFonts w:cs="宋体" w:asciiTheme="minorEastAsia" w:hAnsiTheme="minorEastAsia"/>
                <w:kern w:val="0"/>
                <w:sz w:val="24"/>
              </w:rPr>
            </w:pPr>
          </w:p>
        </w:tc>
        <w:tc>
          <w:tcPr>
            <w:tcW w:w="1296" w:type="dxa"/>
            <w:tcBorders>
              <w:top w:val="single" w:color="auto" w:sz="6" w:space="0"/>
              <w:left w:val="single" w:color="auto" w:sz="6" w:space="0"/>
              <w:bottom w:val="single" w:color="auto" w:sz="6" w:space="0"/>
              <w:right w:val="single" w:color="auto" w:sz="4" w:space="0"/>
            </w:tcBorders>
            <w:shd w:val="clear" w:color="000000" w:fill="FFFFFF"/>
            <w:noWrap/>
            <w:vAlign w:val="center"/>
          </w:tcPr>
          <w:p>
            <w:pPr>
              <w:widowControl/>
              <w:jc w:val="center"/>
              <w:rPr>
                <w:rFonts w:ascii="宋体" w:hAnsi="宋体" w:cs="宋体"/>
                <w:kern w:val="0"/>
                <w:sz w:val="24"/>
              </w:rPr>
            </w:pPr>
          </w:p>
        </w:tc>
        <w:tc>
          <w:tcPr>
            <w:tcW w:w="2035" w:type="dxa"/>
            <w:tcBorders>
              <w:top w:val="single" w:color="auto" w:sz="6" w:space="0"/>
              <w:left w:val="single" w:color="auto" w:sz="4" w:space="0"/>
              <w:bottom w:val="single" w:color="auto" w:sz="6" w:space="0"/>
              <w:right w:val="single" w:color="auto" w:sz="6" w:space="0"/>
            </w:tcBorders>
            <w:shd w:val="clear" w:color="000000" w:fill="FFFFFF"/>
            <w:vAlign w:val="center"/>
          </w:tcPr>
          <w:p>
            <w:pPr>
              <w:jc w:val="center"/>
              <w:rPr>
                <w:rFonts w:ascii="宋体" w:hAnsi="宋体" w:cs="宋体"/>
                <w:kern w:val="0"/>
                <w:sz w:val="24"/>
              </w:rPr>
            </w:pPr>
          </w:p>
        </w:tc>
        <w:tc>
          <w:tcPr>
            <w:tcW w:w="1656"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right"/>
              <w:rPr>
                <w:rFonts w:ascii="宋体" w:hAnsi="宋体" w:cs="宋体"/>
                <w:b/>
                <w:bCs/>
                <w:kern w:val="0"/>
                <w:sz w:val="24"/>
              </w:rPr>
            </w:pPr>
            <w:r>
              <w:rPr>
                <w:rFonts w:hint="eastAsia" w:ascii="宋体" w:hAnsi="宋体" w:cs="宋体"/>
                <w:b/>
                <w:bCs/>
                <w:kern w:val="0"/>
                <w:sz w:val="24"/>
              </w:rPr>
              <w:t>　</w:t>
            </w:r>
          </w:p>
        </w:tc>
        <w:tc>
          <w:tcPr>
            <w:tcW w:w="1559" w:type="dxa"/>
            <w:tcBorders>
              <w:top w:val="single" w:color="auto" w:sz="6" w:space="0"/>
              <w:left w:val="single" w:color="auto" w:sz="6" w:space="0"/>
              <w:bottom w:val="single" w:color="auto" w:sz="6" w:space="0"/>
              <w:right w:val="single" w:color="auto" w:sz="4" w:space="0"/>
            </w:tcBorders>
            <w:shd w:val="clear" w:color="000000" w:fill="FFFFFF"/>
            <w:noWrap/>
            <w:vAlign w:val="center"/>
          </w:tcPr>
          <w:p>
            <w:pPr>
              <w:widowControl/>
              <w:jc w:val="left"/>
              <w:rPr>
                <w:rFonts w:ascii="宋体" w:hAnsi="宋体" w:cs="宋体"/>
                <w:kern w:val="0"/>
                <w:sz w:val="24"/>
              </w:rPr>
            </w:pPr>
            <w:r>
              <w:rPr>
                <w:rFonts w:hint="eastAsia" w:ascii="宋体" w:hAnsi="宋体" w:cs="宋体"/>
                <w:kern w:val="0"/>
                <w:sz w:val="24"/>
              </w:rPr>
              <w:t>　</w:t>
            </w:r>
          </w:p>
        </w:tc>
        <w:tc>
          <w:tcPr>
            <w:tcW w:w="3312" w:type="dxa"/>
            <w:tcBorders>
              <w:top w:val="single" w:color="auto" w:sz="6" w:space="0"/>
              <w:left w:val="single" w:color="auto" w:sz="6" w:space="0"/>
              <w:bottom w:val="single" w:color="auto" w:sz="6" w:space="0"/>
              <w:right w:val="single" w:color="auto" w:sz="4" w:space="0"/>
            </w:tcBorders>
            <w:shd w:val="clear" w:color="000000" w:fill="FFFFFF"/>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3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4"/>
              </w:rPr>
            </w:pPr>
          </w:p>
        </w:tc>
        <w:tc>
          <w:tcPr>
            <w:tcW w:w="2616"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center"/>
              <w:rPr>
                <w:rFonts w:cs="宋体" w:asciiTheme="minorEastAsia" w:hAnsiTheme="minorEastAsia"/>
                <w:kern w:val="0"/>
                <w:sz w:val="24"/>
              </w:rPr>
            </w:pPr>
          </w:p>
        </w:tc>
        <w:tc>
          <w:tcPr>
            <w:tcW w:w="1296" w:type="dxa"/>
            <w:tcBorders>
              <w:top w:val="single" w:color="auto" w:sz="6" w:space="0"/>
              <w:left w:val="single" w:color="auto" w:sz="6" w:space="0"/>
              <w:bottom w:val="single" w:color="auto" w:sz="6" w:space="0"/>
              <w:right w:val="single" w:color="auto" w:sz="4" w:space="0"/>
            </w:tcBorders>
            <w:shd w:val="clear" w:color="000000" w:fill="FFFFFF"/>
            <w:noWrap/>
            <w:vAlign w:val="center"/>
          </w:tcPr>
          <w:p>
            <w:pPr>
              <w:widowControl/>
              <w:jc w:val="center"/>
              <w:rPr>
                <w:rFonts w:ascii="宋体" w:hAnsi="宋体" w:cs="宋体"/>
                <w:kern w:val="0"/>
                <w:sz w:val="24"/>
              </w:rPr>
            </w:pPr>
          </w:p>
        </w:tc>
        <w:tc>
          <w:tcPr>
            <w:tcW w:w="2035" w:type="dxa"/>
            <w:tcBorders>
              <w:top w:val="single" w:color="auto" w:sz="6" w:space="0"/>
              <w:left w:val="single" w:color="auto" w:sz="4" w:space="0"/>
              <w:bottom w:val="single" w:color="auto" w:sz="6" w:space="0"/>
              <w:right w:val="single" w:color="auto" w:sz="6" w:space="0"/>
            </w:tcBorders>
            <w:shd w:val="clear" w:color="000000" w:fill="FFFFFF"/>
            <w:vAlign w:val="center"/>
          </w:tcPr>
          <w:p>
            <w:pPr>
              <w:jc w:val="center"/>
              <w:rPr>
                <w:rFonts w:ascii="宋体" w:hAnsi="宋体" w:cs="宋体"/>
                <w:kern w:val="0"/>
                <w:sz w:val="24"/>
              </w:rPr>
            </w:pPr>
          </w:p>
        </w:tc>
        <w:tc>
          <w:tcPr>
            <w:tcW w:w="1656"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right"/>
              <w:rPr>
                <w:rFonts w:ascii="宋体" w:hAnsi="宋体" w:cs="宋体"/>
                <w:b/>
                <w:bCs/>
                <w:kern w:val="0"/>
                <w:sz w:val="24"/>
              </w:rPr>
            </w:pPr>
            <w:r>
              <w:rPr>
                <w:rFonts w:hint="eastAsia" w:ascii="宋体" w:hAnsi="宋体" w:cs="宋体"/>
                <w:b/>
                <w:bCs/>
                <w:kern w:val="0"/>
                <w:sz w:val="24"/>
              </w:rPr>
              <w:t>　</w:t>
            </w:r>
          </w:p>
        </w:tc>
        <w:tc>
          <w:tcPr>
            <w:tcW w:w="1559" w:type="dxa"/>
            <w:tcBorders>
              <w:top w:val="single" w:color="auto" w:sz="6" w:space="0"/>
              <w:left w:val="single" w:color="auto" w:sz="6" w:space="0"/>
              <w:bottom w:val="single" w:color="auto" w:sz="6" w:space="0"/>
              <w:right w:val="single" w:color="auto" w:sz="4" w:space="0"/>
            </w:tcBorders>
            <w:shd w:val="clear" w:color="000000" w:fill="FFFFFF"/>
            <w:noWrap/>
            <w:vAlign w:val="center"/>
          </w:tcPr>
          <w:p>
            <w:pPr>
              <w:widowControl/>
              <w:jc w:val="left"/>
              <w:rPr>
                <w:rFonts w:ascii="宋体" w:hAnsi="宋体" w:cs="宋体"/>
                <w:kern w:val="0"/>
                <w:sz w:val="24"/>
              </w:rPr>
            </w:pPr>
            <w:r>
              <w:rPr>
                <w:rFonts w:hint="eastAsia" w:ascii="宋体" w:hAnsi="宋体" w:cs="宋体"/>
                <w:kern w:val="0"/>
                <w:sz w:val="24"/>
              </w:rPr>
              <w:t>　</w:t>
            </w:r>
          </w:p>
        </w:tc>
        <w:tc>
          <w:tcPr>
            <w:tcW w:w="3312" w:type="dxa"/>
            <w:tcBorders>
              <w:top w:val="single" w:color="auto" w:sz="6" w:space="0"/>
              <w:left w:val="single" w:color="auto" w:sz="6" w:space="0"/>
              <w:bottom w:val="single" w:color="auto" w:sz="6" w:space="0"/>
              <w:right w:val="single" w:color="auto" w:sz="4" w:space="0"/>
            </w:tcBorders>
            <w:shd w:val="clear" w:color="000000" w:fill="FFFFFF"/>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3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4"/>
              </w:rPr>
            </w:pPr>
          </w:p>
        </w:tc>
        <w:tc>
          <w:tcPr>
            <w:tcW w:w="2616"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center"/>
              <w:rPr>
                <w:rFonts w:cs="宋体" w:asciiTheme="minorEastAsia" w:hAnsiTheme="minorEastAsia"/>
                <w:kern w:val="0"/>
                <w:sz w:val="24"/>
              </w:rPr>
            </w:pPr>
          </w:p>
        </w:tc>
        <w:tc>
          <w:tcPr>
            <w:tcW w:w="1296" w:type="dxa"/>
            <w:tcBorders>
              <w:top w:val="single" w:color="auto" w:sz="6" w:space="0"/>
              <w:left w:val="single" w:color="auto" w:sz="6" w:space="0"/>
              <w:bottom w:val="single" w:color="auto" w:sz="6" w:space="0"/>
              <w:right w:val="single" w:color="auto" w:sz="4" w:space="0"/>
            </w:tcBorders>
            <w:shd w:val="clear" w:color="000000" w:fill="FFFFFF"/>
            <w:noWrap/>
            <w:vAlign w:val="center"/>
          </w:tcPr>
          <w:p>
            <w:pPr>
              <w:widowControl/>
              <w:jc w:val="center"/>
              <w:rPr>
                <w:rFonts w:ascii="宋体" w:hAnsi="宋体" w:cs="宋体"/>
                <w:kern w:val="0"/>
                <w:sz w:val="24"/>
              </w:rPr>
            </w:pPr>
          </w:p>
        </w:tc>
        <w:tc>
          <w:tcPr>
            <w:tcW w:w="2035" w:type="dxa"/>
            <w:tcBorders>
              <w:top w:val="single" w:color="auto" w:sz="6" w:space="0"/>
              <w:left w:val="single" w:color="auto" w:sz="4" w:space="0"/>
              <w:bottom w:val="single" w:color="auto" w:sz="6" w:space="0"/>
              <w:right w:val="single" w:color="auto" w:sz="6" w:space="0"/>
            </w:tcBorders>
            <w:shd w:val="clear" w:color="000000" w:fill="FFFFFF"/>
            <w:vAlign w:val="center"/>
          </w:tcPr>
          <w:p>
            <w:pPr>
              <w:jc w:val="center"/>
              <w:rPr>
                <w:rFonts w:ascii="宋体" w:hAnsi="宋体" w:cs="宋体"/>
                <w:kern w:val="0"/>
                <w:sz w:val="24"/>
              </w:rPr>
            </w:pPr>
          </w:p>
        </w:tc>
        <w:tc>
          <w:tcPr>
            <w:tcW w:w="1656"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right"/>
              <w:rPr>
                <w:rFonts w:ascii="宋体" w:hAnsi="宋体" w:cs="宋体"/>
                <w:b/>
                <w:bCs/>
                <w:kern w:val="0"/>
                <w:sz w:val="24"/>
              </w:rPr>
            </w:pPr>
            <w:r>
              <w:rPr>
                <w:rFonts w:hint="eastAsia" w:ascii="宋体" w:hAnsi="宋体" w:cs="宋体"/>
                <w:b/>
                <w:bCs/>
                <w:kern w:val="0"/>
                <w:sz w:val="24"/>
              </w:rPr>
              <w:t>　</w:t>
            </w:r>
          </w:p>
        </w:tc>
        <w:tc>
          <w:tcPr>
            <w:tcW w:w="1559" w:type="dxa"/>
            <w:tcBorders>
              <w:top w:val="single" w:color="auto" w:sz="6" w:space="0"/>
              <w:left w:val="single" w:color="auto" w:sz="6" w:space="0"/>
              <w:bottom w:val="single" w:color="auto" w:sz="6" w:space="0"/>
              <w:right w:val="single" w:color="auto" w:sz="4" w:space="0"/>
            </w:tcBorders>
            <w:shd w:val="clear" w:color="000000" w:fill="FFFFFF"/>
            <w:noWrap/>
            <w:vAlign w:val="center"/>
          </w:tcPr>
          <w:p>
            <w:pPr>
              <w:widowControl/>
              <w:jc w:val="left"/>
              <w:rPr>
                <w:rFonts w:ascii="宋体" w:hAnsi="宋体" w:cs="宋体"/>
                <w:kern w:val="0"/>
                <w:sz w:val="24"/>
              </w:rPr>
            </w:pPr>
            <w:r>
              <w:rPr>
                <w:rFonts w:hint="eastAsia" w:ascii="宋体" w:hAnsi="宋体" w:cs="宋体"/>
                <w:kern w:val="0"/>
                <w:sz w:val="24"/>
              </w:rPr>
              <w:t>　</w:t>
            </w:r>
          </w:p>
        </w:tc>
        <w:tc>
          <w:tcPr>
            <w:tcW w:w="3312" w:type="dxa"/>
            <w:tcBorders>
              <w:top w:val="single" w:color="auto" w:sz="6" w:space="0"/>
              <w:left w:val="single" w:color="auto" w:sz="6" w:space="0"/>
              <w:bottom w:val="single" w:color="auto" w:sz="6" w:space="0"/>
              <w:right w:val="single" w:color="auto" w:sz="4" w:space="0"/>
            </w:tcBorders>
            <w:shd w:val="clear" w:color="000000" w:fill="FFFFFF"/>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3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261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rPr>
            </w:pPr>
            <w:r>
              <w:rPr>
                <w:rFonts w:hint="eastAsia" w:cs="宋体" w:asciiTheme="minorEastAsia" w:hAnsiTheme="minorEastAsia"/>
                <w:kern w:val="0"/>
                <w:sz w:val="24"/>
              </w:rPr>
              <w:t>合计</w:t>
            </w:r>
          </w:p>
        </w:tc>
        <w:tc>
          <w:tcPr>
            <w:tcW w:w="4987"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right"/>
              <w:rPr>
                <w:rFonts w:ascii="宋体" w:hAnsi="宋体" w:cs="宋体"/>
                <w:b/>
                <w:bCs/>
                <w:kern w:val="0"/>
                <w:sz w:val="24"/>
              </w:rPr>
            </w:pPr>
          </w:p>
        </w:tc>
        <w:tc>
          <w:tcPr>
            <w:tcW w:w="1559"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4"/>
              </w:rPr>
            </w:pPr>
          </w:p>
        </w:tc>
        <w:tc>
          <w:tcPr>
            <w:tcW w:w="3312" w:type="dxa"/>
            <w:tcBorders>
              <w:top w:val="single" w:color="auto" w:sz="4" w:space="0"/>
              <w:left w:val="nil"/>
              <w:bottom w:val="single" w:color="auto" w:sz="4" w:space="0"/>
              <w:right w:val="single" w:color="auto" w:sz="4" w:space="0"/>
            </w:tcBorders>
            <w:shd w:val="clear" w:color="000000" w:fill="FFFFFF"/>
          </w:tcPr>
          <w:p>
            <w:pPr>
              <w:widowControl/>
              <w:jc w:val="left"/>
              <w:rPr>
                <w:rFonts w:ascii="宋体" w:hAnsi="宋体" w:cs="宋体"/>
                <w:kern w:val="0"/>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9722E"/>
    <w:rsid w:val="0009722E"/>
    <w:rsid w:val="001B4039"/>
    <w:rsid w:val="002021EE"/>
    <w:rsid w:val="002364AC"/>
    <w:rsid w:val="00287C12"/>
    <w:rsid w:val="002E67B1"/>
    <w:rsid w:val="00313CA9"/>
    <w:rsid w:val="00316234"/>
    <w:rsid w:val="004E02E3"/>
    <w:rsid w:val="00547F44"/>
    <w:rsid w:val="006D0558"/>
    <w:rsid w:val="00746B42"/>
    <w:rsid w:val="00763F3B"/>
    <w:rsid w:val="007D1E5B"/>
    <w:rsid w:val="00877883"/>
    <w:rsid w:val="008B5DE3"/>
    <w:rsid w:val="008B76A7"/>
    <w:rsid w:val="008E1DF0"/>
    <w:rsid w:val="009750AB"/>
    <w:rsid w:val="00AB34E7"/>
    <w:rsid w:val="00B54F94"/>
    <w:rsid w:val="00B67785"/>
    <w:rsid w:val="00BF5576"/>
    <w:rsid w:val="00C64C81"/>
    <w:rsid w:val="00C8021E"/>
    <w:rsid w:val="00D22951"/>
    <w:rsid w:val="00D469CA"/>
    <w:rsid w:val="00DF5EE4"/>
    <w:rsid w:val="00E16E3C"/>
    <w:rsid w:val="00E4620E"/>
    <w:rsid w:val="00E64A79"/>
    <w:rsid w:val="00F34B5C"/>
    <w:rsid w:val="00F90AE6"/>
    <w:rsid w:val="00FA5608"/>
    <w:rsid w:val="12EF76DE"/>
    <w:rsid w:val="30DF3BB8"/>
    <w:rsid w:val="451F017A"/>
    <w:rsid w:val="51BA6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1"/>
    <w:semiHidden/>
    <w:qFormat/>
    <w:uiPriority w:val="0"/>
    <w:rPr>
      <w:rFonts w:ascii="Times New Roman" w:hAnsi="Times New Roman" w:eastAsia="宋体" w:cs="Times New Roman"/>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批注框文本 Char"/>
    <w:basedOn w:val="8"/>
    <w:link w:val="3"/>
    <w:semiHidden/>
    <w:qFormat/>
    <w:uiPriority w:val="0"/>
    <w:rPr>
      <w:rFonts w:ascii="Times New Roman" w:hAnsi="Times New Roman" w:eastAsia="宋体" w:cs="Times New Roman"/>
      <w:sz w:val="18"/>
      <w:szCs w:val="18"/>
    </w:rPr>
  </w:style>
  <w:style w:type="character" w:customStyle="1" w:styleId="12">
    <w:name w:val="日期 Char"/>
    <w:basedOn w:val="8"/>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640</Words>
  <Characters>3649</Characters>
  <Lines>30</Lines>
  <Paragraphs>8</Paragraphs>
  <TotalTime>0</TotalTime>
  <ScaleCrop>false</ScaleCrop>
  <LinksUpToDate>false</LinksUpToDate>
  <CharactersWithSpaces>4281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2018-04-11T02:33:00Z</dcterms:created>
  <dc:creator>Admin_0</dc:creator>
  <cp:lastModifiedBy>ruin</cp:lastModifiedBy>
  <cp:lastPrinted>2018-04-20T03:12:00Z</cp:lastPrinted>
  <dcterms:modified xsi:type="dcterms:W3CDTF">2019-04-03T02:03:13Z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